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73" w:tblpY="2431"/>
        <w:tblOverlap w:val="never"/>
        <w:tblW w:w="10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440"/>
        <w:gridCol w:w="1665"/>
        <w:gridCol w:w="1530"/>
        <w:gridCol w:w="2258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建筑物类别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价格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（元/平方）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建筑物类别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价格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元/平方）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建筑物类别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价格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（元/平方）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酒店式公寓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1.05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甲乙类厂房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1.05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隧道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宾馆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1.10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甲乙类仓库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1.10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综合办公楼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（50米以下、含）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招待所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0.90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丙类厂房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0.85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综合办公楼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（100米以下、含）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地铁（地面）站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1.00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丙类仓库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0.90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综合办公楼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（100米以上）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地铁（地下）站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1.20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丁戊类厂房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0.45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机场航站楼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地下车库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1.10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丁戊类仓库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0.55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医院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影剧院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1.10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高等院校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0.80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科学实验楼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体育馆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1.05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其他学校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0.70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商场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娱乐场所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1.10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发电厂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1.05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养老院、幼儿园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0.50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消防检测报价</w:t>
      </w:r>
    </w:p>
    <w:p/>
    <w:p>
      <w:pPr>
        <w:bidi w:val="0"/>
        <w:rPr>
          <w:rFonts w:ascii="Times New Roman" w:hAnsi="Times New Roman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备注：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1、凡本表中所列建筑物之外的建筑，参照其近似建筑物单价计算。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98" w:leftChars="342" w:right="0" w:rightChars="0" w:hanging="480" w:hanging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建筑面积小于5000平方米的建筑按每个系统800元计价，但最低不小于1500元；建筑面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142" w:right="0" w:rightChars="0" w:firstLine="720" w:firstLineChars="3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积小于1000平方米建筑按1500元计价。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98" w:leftChars="342" w:right="0" w:rightChars="0" w:hanging="480" w:hanging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气体、雨淋、水幕、细水雾等特殊气体灭火系统按每个系统3000元计价，2个及2个以上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142" w:right="0" w:rightChars="0" w:firstLine="720" w:firstLineChars="3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系统时，每增加1个，加收1200元。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3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4、室外装置、设施等设有消防设备时，按消防设施投资总额的1.8%计价。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3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5、复测费按检测合同的20%/次计价。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300"/>
        <w:jc w:val="left"/>
        <w:textAlignment w:val="auto"/>
        <w:outlineLvl w:val="9"/>
        <w:rPr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6、面积超过10万平方米的项目，增加部分按85%计价。</w:t>
      </w:r>
      <w:r>
        <w:rPr>
          <w:rFonts w:hint="eastAsia"/>
          <w:lang w:val="en-US" w:eastAsia="zh-CN"/>
        </w:rPr>
        <w:tab/>
      </w:r>
    </w:p>
    <w:sectPr>
      <w:pgSz w:w="11906" w:h="16838"/>
      <w:pgMar w:top="1440" w:right="669" w:bottom="1440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F513"/>
    <w:multiLevelType w:val="singleLevel"/>
    <w:tmpl w:val="599CF51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0690E"/>
    <w:rsid w:val="7A20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2020-03-02T05:04:00Z</dcterms:created>
  <dc:creator>水清鱼读月</dc:creator>
  <cp:lastModifiedBy>水清鱼读月</cp:lastModifiedBy>
  <dcterms:modified xsi:type="dcterms:W3CDTF">2020-03-02T05:11:58Z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