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3EEA4">
      <w:pPr>
        <w:rPr>
          <w:rFonts w:ascii="Times New Roman" w:hAnsi="Times New Roman"/>
          <w:highlight w:val="none"/>
        </w:rPr>
      </w:pPr>
    </w:p>
    <w:p w14:paraId="72577FF6">
      <w:pPr>
        <w:rPr>
          <w:rFonts w:ascii="Times New Roman" w:hAnsi="Times New Roman"/>
          <w:highlight w:val="none"/>
        </w:rPr>
      </w:pPr>
    </w:p>
    <w:p w14:paraId="62245B4B">
      <w:pPr>
        <w:rPr>
          <w:rFonts w:ascii="Times New Roman" w:hAnsi="Times New Roman"/>
          <w:sz w:val="24"/>
          <w:szCs w:val="28"/>
          <w:highlight w:val="none"/>
        </w:rPr>
      </w:pPr>
    </w:p>
    <w:p w14:paraId="050DB8EF">
      <w:pPr>
        <w:jc w:val="center"/>
        <w:rPr>
          <w:rFonts w:ascii="Times New Roman" w:hAnsi="Times New Roman"/>
          <w:b/>
          <w:bCs w:val="0"/>
          <w:sz w:val="11"/>
          <w:szCs w:val="11"/>
          <w:highlight w:val="none"/>
        </w:rPr>
      </w:pPr>
      <w:r>
        <w:rPr>
          <w:rFonts w:ascii="Times New Roman" w:hAnsi="Times New Roman"/>
          <w:b/>
          <w:bCs w:val="0"/>
          <w:sz w:val="52"/>
          <w:szCs w:val="52"/>
          <w:highlight w:val="none"/>
        </w:rPr>
        <w:t>社</w:t>
      </w:r>
      <w:r>
        <w:rPr>
          <w:rFonts w:hint="eastAsia" w:ascii="Times New Roman" w:hAnsi="Times New Roman"/>
          <w:b/>
          <w:bCs w:val="0"/>
          <w:sz w:val="52"/>
          <w:szCs w:val="52"/>
          <w:highlight w:val="none"/>
          <w:lang w:val="en-US" w:eastAsia="zh-CN"/>
        </w:rPr>
        <w:t xml:space="preserve"> </w:t>
      </w:r>
      <w:r>
        <w:rPr>
          <w:rFonts w:ascii="Times New Roman" w:hAnsi="Times New Roman"/>
          <w:b/>
          <w:bCs w:val="0"/>
          <w:sz w:val="52"/>
          <w:szCs w:val="52"/>
          <w:highlight w:val="none"/>
        </w:rPr>
        <w:t>会</w:t>
      </w:r>
      <w:r>
        <w:rPr>
          <w:rFonts w:hint="eastAsia" w:ascii="Times New Roman" w:hAnsi="Times New Roman"/>
          <w:b/>
          <w:bCs w:val="0"/>
          <w:sz w:val="52"/>
          <w:szCs w:val="52"/>
          <w:highlight w:val="none"/>
          <w:lang w:val="en-US" w:eastAsia="zh-CN"/>
        </w:rPr>
        <w:t xml:space="preserve"> </w:t>
      </w:r>
      <w:r>
        <w:rPr>
          <w:rFonts w:ascii="Times New Roman" w:hAnsi="Times New Roman"/>
          <w:b/>
          <w:bCs w:val="0"/>
          <w:sz w:val="52"/>
          <w:szCs w:val="52"/>
          <w:highlight w:val="none"/>
        </w:rPr>
        <w:t>责</w:t>
      </w:r>
      <w:r>
        <w:rPr>
          <w:rFonts w:hint="eastAsia" w:ascii="Times New Roman" w:hAnsi="Times New Roman"/>
          <w:b/>
          <w:bCs w:val="0"/>
          <w:sz w:val="52"/>
          <w:szCs w:val="52"/>
          <w:highlight w:val="none"/>
          <w:lang w:val="en-US" w:eastAsia="zh-CN"/>
        </w:rPr>
        <w:t xml:space="preserve"> </w:t>
      </w:r>
      <w:r>
        <w:rPr>
          <w:rFonts w:ascii="Times New Roman" w:hAnsi="Times New Roman"/>
          <w:b/>
          <w:bCs w:val="0"/>
          <w:sz w:val="52"/>
          <w:szCs w:val="52"/>
          <w:highlight w:val="none"/>
        </w:rPr>
        <w:t>任</w:t>
      </w:r>
      <w:r>
        <w:rPr>
          <w:rFonts w:hint="eastAsia" w:ascii="Times New Roman" w:hAnsi="Times New Roman"/>
          <w:b/>
          <w:bCs w:val="0"/>
          <w:sz w:val="52"/>
          <w:szCs w:val="52"/>
          <w:highlight w:val="none"/>
          <w:lang w:val="en-US" w:eastAsia="zh-CN"/>
        </w:rPr>
        <w:t xml:space="preserve"> </w:t>
      </w:r>
      <w:r>
        <w:rPr>
          <w:rFonts w:ascii="Times New Roman" w:hAnsi="Times New Roman"/>
          <w:b/>
          <w:bCs w:val="0"/>
          <w:sz w:val="52"/>
          <w:szCs w:val="52"/>
          <w:highlight w:val="none"/>
        </w:rPr>
        <w:t>报</w:t>
      </w:r>
      <w:r>
        <w:rPr>
          <w:rFonts w:hint="eastAsia" w:ascii="Times New Roman" w:hAnsi="Times New Roman"/>
          <w:b/>
          <w:bCs w:val="0"/>
          <w:sz w:val="52"/>
          <w:szCs w:val="52"/>
          <w:highlight w:val="none"/>
          <w:lang w:val="en-US" w:eastAsia="zh-CN"/>
        </w:rPr>
        <w:t xml:space="preserve"> </w:t>
      </w:r>
      <w:r>
        <w:rPr>
          <w:rFonts w:ascii="Times New Roman" w:hAnsi="Times New Roman"/>
          <w:b/>
          <w:bCs w:val="0"/>
          <w:sz w:val="52"/>
          <w:szCs w:val="52"/>
          <w:highlight w:val="none"/>
        </w:rPr>
        <w:t>告</w:t>
      </w:r>
    </w:p>
    <w:p w14:paraId="17A2A1D1">
      <w:pPr>
        <w:jc w:val="center"/>
        <w:rPr>
          <w:rFonts w:hint="eastAsia" w:asciiTheme="majorEastAsia" w:hAnsiTheme="majorEastAsia" w:eastAsiaTheme="majorEastAsia" w:cstheme="majorEastAsia"/>
          <w:b/>
          <w:bCs/>
          <w:color w:val="auto"/>
          <w:spacing w:val="181"/>
          <w:kern w:val="40"/>
          <w:sz w:val="22"/>
          <w:szCs w:val="24"/>
          <w:highlight w:val="none"/>
          <w:lang w:val="en-US" w:eastAsia="zh-CN"/>
        </w:rPr>
      </w:pPr>
      <w:r>
        <w:rPr>
          <w:rFonts w:hint="eastAsia" w:ascii="Times New Roman" w:hAnsi="Times New Roman"/>
          <w:b/>
          <w:bCs/>
          <w:color w:val="FF0000"/>
          <w:spacing w:val="181"/>
          <w:kern w:val="40"/>
          <w:sz w:val="21"/>
          <w:highlight w:val="none"/>
          <w:lang w:val="en-US" w:eastAsia="zh-CN"/>
        </w:rPr>
        <w:t xml:space="preserve"> </w:t>
      </w:r>
      <w:r>
        <w:rPr>
          <w:rFonts w:hint="eastAsia" w:asciiTheme="majorEastAsia" w:hAnsiTheme="majorEastAsia" w:eastAsiaTheme="majorEastAsia" w:cstheme="majorEastAsia"/>
          <w:b/>
          <w:bCs/>
          <w:color w:val="auto"/>
          <w:spacing w:val="181"/>
          <w:kern w:val="40"/>
          <w:sz w:val="22"/>
          <w:szCs w:val="24"/>
          <w:highlight w:val="none"/>
          <w:lang w:val="en-US" w:eastAsia="zh-CN"/>
        </w:rPr>
        <w:t>环境•社会•治理</w:t>
      </w:r>
    </w:p>
    <w:p w14:paraId="3C65ADA7">
      <w:pPr>
        <w:rPr>
          <w:rFonts w:ascii="Times New Roman" w:hAnsi="Times New Roman"/>
          <w:highlight w:val="none"/>
        </w:rPr>
      </w:pPr>
    </w:p>
    <w:p w14:paraId="2DE58183">
      <w:pPr>
        <w:rPr>
          <w:rFonts w:ascii="Times New Roman" w:hAnsi="Times New Roman" w:eastAsia="黑体"/>
          <w:b/>
          <w:sz w:val="48"/>
          <w:szCs w:val="48"/>
          <w:highlight w:val="none"/>
        </w:rPr>
      </w:pPr>
    </w:p>
    <w:p w14:paraId="490E3AC1">
      <w:pPr>
        <w:jc w:val="center"/>
        <w:rPr>
          <w:rFonts w:ascii="Times New Roman" w:hAnsi="Times New Roman"/>
          <w:b/>
          <w:sz w:val="28"/>
          <w:szCs w:val="28"/>
          <w:highlight w:val="none"/>
        </w:rPr>
      </w:pPr>
    </w:p>
    <w:p w14:paraId="6C59EBC7">
      <w:pPr>
        <w:jc w:val="center"/>
        <w:rPr>
          <w:rFonts w:ascii="Times New Roman" w:hAnsi="Times New Roman"/>
          <w:b/>
          <w:sz w:val="28"/>
          <w:szCs w:val="28"/>
          <w:highlight w:val="none"/>
        </w:rPr>
      </w:pPr>
    </w:p>
    <w:p w14:paraId="5E4B7CDE">
      <w:pPr>
        <w:jc w:val="center"/>
        <w:rPr>
          <w:rFonts w:ascii="Times New Roman" w:hAnsi="Times New Roman"/>
          <w:b/>
          <w:sz w:val="28"/>
          <w:szCs w:val="28"/>
          <w:highlight w:val="none"/>
        </w:rPr>
      </w:pPr>
    </w:p>
    <w:p w14:paraId="1727C2D5">
      <w:pPr>
        <w:rPr>
          <w:rFonts w:hint="eastAsia" w:ascii="Times New Roman" w:hAnsi="Times New Roman" w:eastAsia="黑体" w:cs="Times New Roman"/>
          <w:bCs/>
          <w:color w:val="auto"/>
          <w:sz w:val="52"/>
          <w:szCs w:val="52"/>
          <w:highlight w:val="none"/>
          <w:lang w:eastAsia="zh-CN"/>
        </w:rPr>
      </w:pPr>
      <w:r>
        <w:rPr>
          <w:rFonts w:hint="eastAsia" w:ascii="Times New Roman" w:hAnsi="Times New Roman" w:eastAsia="黑体" w:cs="Times New Roman"/>
          <w:bCs/>
          <w:color w:val="auto"/>
          <w:sz w:val="52"/>
          <w:szCs w:val="52"/>
          <w:highlight w:val="none"/>
          <w:lang w:eastAsia="zh-CN"/>
        </w:rPr>
        <w:drawing>
          <wp:inline distT="0" distB="0" distL="114300" distR="114300">
            <wp:extent cx="5350510" cy="2525395"/>
            <wp:effectExtent l="0" t="0" r="8890" b="1905"/>
            <wp:docPr id="82" name="图片 1" descr="27-经营场所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1" descr="27-经营场所照片"/>
                    <pic:cNvPicPr>
                      <a:picLocks noChangeAspect="1"/>
                    </pic:cNvPicPr>
                  </pic:nvPicPr>
                  <pic:blipFill>
                    <a:blip r:embed="rId8"/>
                    <a:srcRect l="6949" r="2248" b="19336"/>
                    <a:stretch>
                      <a:fillRect/>
                    </a:stretch>
                  </pic:blipFill>
                  <pic:spPr>
                    <a:xfrm>
                      <a:off x="0" y="0"/>
                      <a:ext cx="5350510" cy="2525395"/>
                    </a:xfrm>
                    <a:prstGeom prst="rect">
                      <a:avLst/>
                    </a:prstGeom>
                    <a:noFill/>
                    <a:ln>
                      <a:noFill/>
                    </a:ln>
                  </pic:spPr>
                </pic:pic>
              </a:graphicData>
            </a:graphic>
          </wp:inline>
        </w:drawing>
      </w:r>
    </w:p>
    <w:p w14:paraId="32FE9862">
      <w:pPr>
        <w:rPr>
          <w:rFonts w:hint="eastAsia" w:ascii="Times New Roman" w:hAnsi="Times New Roman" w:eastAsia="黑体" w:cs="Times New Roman"/>
          <w:bCs/>
          <w:color w:val="auto"/>
          <w:sz w:val="52"/>
          <w:szCs w:val="52"/>
          <w:highlight w:val="none"/>
          <w:lang w:eastAsia="zh-CN"/>
        </w:rPr>
      </w:pPr>
    </w:p>
    <w:p w14:paraId="29C9A7A5">
      <w:pPr>
        <w:rPr>
          <w:rFonts w:ascii="Times New Roman" w:hAnsi="Times New Roman"/>
          <w:b/>
          <w:sz w:val="28"/>
          <w:szCs w:val="28"/>
          <w:highlight w:val="none"/>
        </w:rPr>
      </w:pPr>
    </w:p>
    <w:p w14:paraId="5982B56A">
      <w:pPr>
        <w:rPr>
          <w:rFonts w:ascii="Times New Roman" w:hAnsi="Times New Roman"/>
          <w:b/>
          <w:sz w:val="28"/>
          <w:szCs w:val="28"/>
          <w:highlight w:val="none"/>
        </w:rPr>
      </w:pPr>
    </w:p>
    <w:p w14:paraId="68BB8D5D">
      <w:pPr>
        <w:jc w:val="center"/>
        <w:rPr>
          <w:rFonts w:ascii="Times New Roman" w:hAnsi="Times New Roman"/>
          <w:b/>
          <w:sz w:val="28"/>
          <w:szCs w:val="28"/>
          <w:highlight w:val="none"/>
        </w:rPr>
      </w:pPr>
      <w:r>
        <w:rPr>
          <w:rFonts w:hint="eastAsia" w:ascii="Times New Roman" w:hAnsi="Times New Roman"/>
          <w:b/>
          <w:i w:val="0"/>
          <w:iCs w:val="0"/>
          <w:color w:val="auto"/>
          <w:sz w:val="28"/>
          <w:szCs w:val="28"/>
          <w:highlight w:val="none"/>
          <w:lang w:val="en-US" w:eastAsia="zh-CN"/>
        </w:rPr>
        <w:t>上海智金电器</w:t>
      </w:r>
      <w:r>
        <w:rPr>
          <w:rFonts w:hint="eastAsia" w:ascii="Times New Roman" w:hAnsi="Times New Roman"/>
          <w:b/>
          <w:i w:val="0"/>
          <w:iCs w:val="0"/>
          <w:color w:val="auto"/>
          <w:sz w:val="28"/>
          <w:szCs w:val="28"/>
          <w:highlight w:val="none"/>
        </w:rPr>
        <w:t>有限</w:t>
      </w:r>
      <w:r>
        <w:rPr>
          <w:rFonts w:hint="eastAsia" w:ascii="Times New Roman" w:hAnsi="Times New Roman"/>
          <w:b/>
          <w:sz w:val="28"/>
          <w:szCs w:val="28"/>
          <w:highlight w:val="none"/>
        </w:rPr>
        <w:t>公司</w:t>
      </w:r>
    </w:p>
    <w:p w14:paraId="47622FF0">
      <w:pPr>
        <w:jc w:val="center"/>
        <w:rPr>
          <w:rFonts w:ascii="Times New Roman" w:hAnsi="Times New Roman"/>
          <w:b/>
          <w:sz w:val="28"/>
          <w:szCs w:val="28"/>
          <w:highlight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ascii="Times New Roman" w:hAnsi="Times New Roman"/>
          <w:b/>
          <w:i w:val="0"/>
          <w:iCs w:val="0"/>
          <w:color w:val="auto"/>
          <w:sz w:val="28"/>
          <w:szCs w:val="28"/>
          <w:highlight w:val="none"/>
        </w:rPr>
        <w:t>20</w:t>
      </w:r>
      <w:r>
        <w:rPr>
          <w:rFonts w:hint="eastAsia" w:ascii="Times New Roman" w:hAnsi="Times New Roman"/>
          <w:b/>
          <w:i w:val="0"/>
          <w:iCs w:val="0"/>
          <w:color w:val="auto"/>
          <w:sz w:val="28"/>
          <w:szCs w:val="28"/>
          <w:highlight w:val="none"/>
        </w:rPr>
        <w:t>2</w:t>
      </w:r>
      <w:r>
        <w:rPr>
          <w:rFonts w:hint="eastAsia" w:ascii="Times New Roman" w:hAnsi="Times New Roman"/>
          <w:b/>
          <w:i w:val="0"/>
          <w:iCs w:val="0"/>
          <w:color w:val="auto"/>
          <w:sz w:val="28"/>
          <w:szCs w:val="28"/>
          <w:highlight w:val="none"/>
          <w:lang w:val="en-US" w:eastAsia="zh-CN"/>
        </w:rPr>
        <w:t>5</w:t>
      </w:r>
      <w:r>
        <w:rPr>
          <w:rFonts w:ascii="Times New Roman" w:hAnsi="Times New Roman"/>
          <w:b/>
          <w:i w:val="0"/>
          <w:iCs w:val="0"/>
          <w:color w:val="auto"/>
          <w:sz w:val="28"/>
          <w:szCs w:val="28"/>
          <w:highlight w:val="none"/>
        </w:rPr>
        <w:t>年</w:t>
      </w:r>
      <w:r>
        <w:rPr>
          <w:rFonts w:hint="eastAsia" w:ascii="Times New Roman" w:hAnsi="Times New Roman"/>
          <w:b/>
          <w:i w:val="0"/>
          <w:iCs w:val="0"/>
          <w:color w:val="auto"/>
          <w:sz w:val="28"/>
          <w:szCs w:val="28"/>
          <w:highlight w:val="none"/>
          <w:lang w:val="en-US" w:eastAsia="zh-CN"/>
        </w:rPr>
        <w:t>1</w:t>
      </w:r>
      <w:r>
        <w:rPr>
          <w:rFonts w:ascii="Times New Roman" w:hAnsi="Times New Roman"/>
          <w:b/>
          <w:sz w:val="28"/>
          <w:szCs w:val="28"/>
          <w:highlight w:val="none"/>
        </w:rPr>
        <w:t>月</w:t>
      </w:r>
    </w:p>
    <w:p w14:paraId="1E9156A4">
      <w:pPr>
        <w:rPr>
          <w:rFonts w:hint="default" w:ascii="汉仪雅酷黑 85W" w:hAnsi="汉仪雅酷黑 85W" w:eastAsia="汉仪雅酷黑 85W" w:cs="汉仪雅酷黑 85W"/>
          <w:b/>
          <w:bCs w:val="0"/>
          <w:color w:val="0070C0"/>
          <w:sz w:val="32"/>
          <w:szCs w:val="32"/>
          <w:highlight w:val="none"/>
          <w:lang w:val="en-US" w:eastAsia="zh-CN"/>
        </w:rPr>
      </w:pPr>
      <w:r>
        <w:rPr>
          <w:rFonts w:hint="eastAsia" w:ascii="汉仪雅酷黑 85W" w:hAnsi="汉仪雅酷黑 85W" w:eastAsia="汉仪雅酷黑 85W" w:cs="汉仪雅酷黑 85W"/>
          <w:b/>
          <w:bCs w:val="0"/>
          <w:color w:val="0070C0"/>
          <w:sz w:val="32"/>
          <w:szCs w:val="32"/>
          <w:highlight w:val="none"/>
        </w:rPr>
        <w:t>● 目录</w:t>
      </w:r>
    </w:p>
    <w:p w14:paraId="55311E46">
      <w:pPr>
        <w:ind w:firstLine="420"/>
        <w:rPr>
          <w:rFonts w:ascii="Times New Roman" w:hAnsi="Times New Roman"/>
          <w:b/>
          <w:szCs w:val="21"/>
          <w:highlight w:val="none"/>
        </w:rPr>
      </w:pPr>
    </w:p>
    <w:p w14:paraId="1A3F3AD4">
      <w:pPr>
        <w:autoSpaceDE w:val="0"/>
        <w:autoSpaceDN w:val="0"/>
        <w:adjustRightInd w:val="0"/>
        <w:ind w:firstLine="420"/>
        <w:rPr>
          <w:rFonts w:ascii="Times New Roman" w:hAnsi="Times New Roman"/>
          <w:szCs w:val="21"/>
          <w:highlight w:val="none"/>
        </w:rPr>
      </w:pPr>
      <w:r>
        <w:rPr>
          <w:rFonts w:ascii="Times New Roman" w:hAnsi="Times New Roman" w:eastAsiaTheme="minorEastAsia"/>
          <w:szCs w:val="21"/>
          <w:highlight w:val="none"/>
        </w:rPr>
        <w:t>0</w:t>
      </w:r>
      <w:r>
        <w:rPr>
          <w:rFonts w:hint="eastAsia" w:ascii="Times New Roman" w:hAnsi="Times New Roman" w:eastAsiaTheme="minorEastAsia"/>
          <w:szCs w:val="21"/>
          <w:highlight w:val="none"/>
          <w:lang w:val="en-US" w:eastAsia="zh-CN"/>
        </w:rPr>
        <w:t>1</w:t>
      </w:r>
      <w:r>
        <w:rPr>
          <w:rFonts w:ascii="Times New Roman" w:hAnsi="Times New Roman" w:eastAsiaTheme="minorEastAsia"/>
          <w:szCs w:val="21"/>
          <w:highlight w:val="none"/>
        </w:rPr>
        <w:t xml:space="preserve"> </w:t>
      </w:r>
      <w:r>
        <w:rPr>
          <w:rFonts w:ascii="Times New Roman" w:hAnsi="Times New Roman"/>
          <w:szCs w:val="21"/>
          <w:highlight w:val="none"/>
          <w:lang w:val="zh-CN"/>
        </w:rPr>
        <w:t>关于本报告</w:t>
      </w:r>
    </w:p>
    <w:p w14:paraId="0B8FAC47">
      <w:pPr>
        <w:autoSpaceDE w:val="0"/>
        <w:autoSpaceDN w:val="0"/>
        <w:adjustRightInd w:val="0"/>
        <w:ind w:firstLine="420"/>
        <w:rPr>
          <w:rFonts w:ascii="Times New Roman" w:hAnsi="Times New Roman"/>
          <w:szCs w:val="21"/>
          <w:highlight w:val="none"/>
        </w:rPr>
      </w:pPr>
      <w:r>
        <w:rPr>
          <w:rFonts w:ascii="Times New Roman" w:hAnsi="Times New Roman"/>
          <w:szCs w:val="21"/>
          <w:highlight w:val="none"/>
        </w:rPr>
        <w:t>0</w:t>
      </w:r>
      <w:r>
        <w:rPr>
          <w:rFonts w:hint="eastAsia" w:ascii="Times New Roman" w:hAnsi="Times New Roman"/>
          <w:szCs w:val="21"/>
          <w:highlight w:val="none"/>
          <w:lang w:val="en-US" w:eastAsia="zh-CN"/>
        </w:rPr>
        <w:t>1</w:t>
      </w:r>
      <w:r>
        <w:rPr>
          <w:rFonts w:ascii="Times New Roman" w:hAnsi="Times New Roman"/>
          <w:szCs w:val="21"/>
          <w:highlight w:val="none"/>
        </w:rPr>
        <w:t xml:space="preserve"> </w:t>
      </w:r>
      <w:r>
        <w:rPr>
          <w:rFonts w:ascii="Times New Roman" w:hAnsi="Times New Roman"/>
          <w:szCs w:val="21"/>
          <w:highlight w:val="none"/>
          <w:lang w:val="zh-CN"/>
        </w:rPr>
        <w:t>公司概况</w:t>
      </w:r>
    </w:p>
    <w:p w14:paraId="7CB40FB2">
      <w:pPr>
        <w:autoSpaceDE w:val="0"/>
        <w:autoSpaceDN w:val="0"/>
        <w:adjustRightInd w:val="0"/>
        <w:ind w:firstLine="420"/>
        <w:rPr>
          <w:rFonts w:ascii="Times New Roman" w:hAnsi="Times New Roman"/>
          <w:szCs w:val="21"/>
          <w:highlight w:val="none"/>
        </w:rPr>
      </w:pPr>
      <w:r>
        <w:rPr>
          <w:rFonts w:ascii="Times New Roman" w:hAnsi="Times New Roman"/>
          <w:szCs w:val="21"/>
          <w:highlight w:val="none"/>
        </w:rPr>
        <w:t>0</w:t>
      </w:r>
      <w:r>
        <w:rPr>
          <w:rFonts w:hint="eastAsia" w:ascii="Times New Roman" w:hAnsi="Times New Roman"/>
          <w:szCs w:val="21"/>
          <w:highlight w:val="none"/>
          <w:lang w:val="en-US" w:eastAsia="zh-CN"/>
        </w:rPr>
        <w:t>2</w:t>
      </w:r>
      <w:r>
        <w:rPr>
          <w:rFonts w:ascii="Times New Roman" w:hAnsi="Times New Roman"/>
          <w:szCs w:val="21"/>
          <w:highlight w:val="none"/>
        </w:rPr>
        <w:t xml:space="preserve"> </w:t>
      </w:r>
      <w:r>
        <w:rPr>
          <w:rFonts w:ascii="Times New Roman" w:hAnsi="Times New Roman"/>
          <w:szCs w:val="21"/>
          <w:highlight w:val="none"/>
          <w:lang w:val="zh-CN"/>
        </w:rPr>
        <w:t>企业社会责任战略</w:t>
      </w:r>
    </w:p>
    <w:p w14:paraId="4A0D609E">
      <w:pPr>
        <w:autoSpaceDE w:val="0"/>
        <w:autoSpaceDN w:val="0"/>
        <w:adjustRightInd w:val="0"/>
        <w:ind w:firstLine="420"/>
        <w:rPr>
          <w:rFonts w:ascii="Times New Roman" w:hAnsi="Times New Roman"/>
          <w:szCs w:val="21"/>
          <w:highlight w:val="none"/>
        </w:rPr>
      </w:pPr>
      <w:r>
        <w:rPr>
          <w:rFonts w:ascii="Times New Roman" w:hAnsi="Times New Roman"/>
          <w:szCs w:val="21"/>
          <w:highlight w:val="none"/>
        </w:rPr>
        <w:t>0</w:t>
      </w:r>
      <w:r>
        <w:rPr>
          <w:rFonts w:hint="eastAsia" w:ascii="Times New Roman" w:hAnsi="Times New Roman"/>
          <w:szCs w:val="21"/>
          <w:highlight w:val="none"/>
          <w:lang w:val="en-US" w:eastAsia="zh-CN"/>
        </w:rPr>
        <w:t>3</w:t>
      </w:r>
      <w:r>
        <w:rPr>
          <w:rFonts w:ascii="Times New Roman" w:hAnsi="Times New Roman"/>
          <w:szCs w:val="21"/>
          <w:highlight w:val="none"/>
        </w:rPr>
        <w:t xml:space="preserve"> </w:t>
      </w:r>
      <w:r>
        <w:rPr>
          <w:rFonts w:ascii="Times New Roman" w:hAnsi="Times New Roman"/>
          <w:szCs w:val="21"/>
          <w:highlight w:val="none"/>
          <w:lang w:val="zh-CN"/>
        </w:rPr>
        <w:t>公司治理与企业社会责任管理</w:t>
      </w:r>
    </w:p>
    <w:p w14:paraId="6D316E20">
      <w:pPr>
        <w:autoSpaceDE w:val="0"/>
        <w:autoSpaceDN w:val="0"/>
        <w:adjustRightInd w:val="0"/>
        <w:ind w:firstLine="420"/>
        <w:rPr>
          <w:rFonts w:ascii="Times New Roman" w:hAnsi="Times New Roman"/>
          <w:szCs w:val="21"/>
          <w:highlight w:val="none"/>
          <w:lang w:val="zh-CN"/>
        </w:rPr>
      </w:pPr>
      <w:r>
        <w:rPr>
          <w:rFonts w:ascii="Times New Roman" w:hAnsi="Times New Roman"/>
          <w:szCs w:val="21"/>
          <w:highlight w:val="none"/>
        </w:rPr>
        <w:t>0</w:t>
      </w:r>
      <w:r>
        <w:rPr>
          <w:rFonts w:hint="eastAsia" w:ascii="Times New Roman" w:hAnsi="Times New Roman"/>
          <w:szCs w:val="21"/>
          <w:highlight w:val="none"/>
          <w:lang w:val="en-US" w:eastAsia="zh-CN"/>
        </w:rPr>
        <w:t>5</w:t>
      </w:r>
      <w:r>
        <w:rPr>
          <w:rFonts w:ascii="Times New Roman" w:hAnsi="Times New Roman"/>
          <w:szCs w:val="21"/>
          <w:highlight w:val="none"/>
        </w:rPr>
        <w:t xml:space="preserve"> </w:t>
      </w:r>
      <w:r>
        <w:rPr>
          <w:rFonts w:ascii="Times New Roman" w:hAnsi="Times New Roman"/>
          <w:szCs w:val="21"/>
          <w:highlight w:val="none"/>
          <w:lang w:val="zh-CN"/>
        </w:rPr>
        <w:t>利益相关方参与</w:t>
      </w:r>
    </w:p>
    <w:p w14:paraId="453AC8A2">
      <w:pPr>
        <w:autoSpaceDE w:val="0"/>
        <w:autoSpaceDN w:val="0"/>
        <w:adjustRightInd w:val="0"/>
        <w:ind w:firstLine="420"/>
        <w:rPr>
          <w:rFonts w:hint="eastAsia" w:ascii="Times New Roman" w:hAnsi="Times New Roman" w:eastAsiaTheme="majorEastAsia"/>
          <w:b/>
          <w:sz w:val="36"/>
          <w:szCs w:val="36"/>
          <w:highlight w:val="none"/>
          <w:lang w:val="en-US" w:eastAsia="zh-CN"/>
        </w:rPr>
      </w:pPr>
      <w:r>
        <w:rPr>
          <w:rFonts w:ascii="Times New Roman" w:hAnsi="Times New Roman"/>
          <w:b/>
          <w:bCs/>
          <w:color w:val="0070C0"/>
          <w:sz w:val="28"/>
          <w:szCs w:val="28"/>
          <w:highlight w:val="none"/>
          <w:lang w:val="zh-CN"/>
        </w:rPr>
        <w:t>第一篇：</w:t>
      </w:r>
      <w:r>
        <w:rPr>
          <w:rFonts w:hint="eastAsia" w:ascii="Times New Roman" w:hAnsi="Times New Roman"/>
          <w:b/>
          <w:color w:val="0070C0"/>
          <w:sz w:val="28"/>
          <w:szCs w:val="28"/>
          <w:highlight w:val="none"/>
          <w:lang w:val="en-US" w:eastAsia="zh-CN"/>
        </w:rPr>
        <w:t>面向未来 科技先行</w:t>
      </w:r>
    </w:p>
    <w:p w14:paraId="549C8471">
      <w:pPr>
        <w:autoSpaceDE w:val="0"/>
        <w:autoSpaceDN w:val="0"/>
        <w:adjustRightInd w:val="0"/>
        <w:ind w:firstLine="420"/>
        <w:rPr>
          <w:rFonts w:ascii="Times New Roman" w:hAnsi="Times New Roman"/>
          <w:szCs w:val="21"/>
          <w:highlight w:val="none"/>
        </w:rPr>
      </w:pPr>
      <w:r>
        <w:rPr>
          <w:rFonts w:hint="eastAsia" w:ascii="Times New Roman" w:hAnsi="Times New Roman"/>
          <w:szCs w:val="21"/>
          <w:highlight w:val="none"/>
          <w:lang w:val="en-US" w:eastAsia="zh-CN"/>
        </w:rPr>
        <w:t>06</w:t>
      </w:r>
      <w:r>
        <w:rPr>
          <w:rFonts w:ascii="Times New Roman" w:hAnsi="Times New Roman"/>
          <w:szCs w:val="21"/>
          <w:highlight w:val="none"/>
        </w:rPr>
        <w:t xml:space="preserve"> </w:t>
      </w:r>
      <w:r>
        <w:rPr>
          <w:rFonts w:ascii="Times New Roman" w:hAnsi="Times New Roman"/>
          <w:kern w:val="0"/>
          <w:szCs w:val="21"/>
          <w:highlight w:val="none"/>
        </w:rPr>
        <w:t>引领时尚潮流，提升品牌形象</w:t>
      </w:r>
    </w:p>
    <w:p w14:paraId="687F3333">
      <w:pPr>
        <w:autoSpaceDE w:val="0"/>
        <w:autoSpaceDN w:val="0"/>
        <w:adjustRightInd w:val="0"/>
        <w:ind w:firstLine="420"/>
        <w:rPr>
          <w:rFonts w:ascii="Times New Roman" w:hAnsi="Times New Roman"/>
          <w:szCs w:val="21"/>
          <w:highlight w:val="none"/>
        </w:rPr>
      </w:pPr>
      <w:r>
        <w:rPr>
          <w:rFonts w:hint="eastAsia" w:ascii="Times New Roman" w:hAnsi="Times New Roman"/>
          <w:szCs w:val="21"/>
          <w:highlight w:val="none"/>
          <w:lang w:val="en-US" w:eastAsia="zh-CN"/>
        </w:rPr>
        <w:t>06</w:t>
      </w:r>
      <w:r>
        <w:rPr>
          <w:rFonts w:ascii="Times New Roman" w:hAnsi="Times New Roman"/>
          <w:szCs w:val="21"/>
          <w:highlight w:val="none"/>
        </w:rPr>
        <w:t xml:space="preserve"> </w:t>
      </w:r>
      <w:r>
        <w:rPr>
          <w:rFonts w:ascii="Times New Roman" w:hAnsi="Times New Roman"/>
          <w:szCs w:val="21"/>
          <w:highlight w:val="none"/>
          <w:lang w:val="zh-CN"/>
        </w:rPr>
        <w:t>科技引领未来</w:t>
      </w:r>
    </w:p>
    <w:p w14:paraId="0FEB1CA0">
      <w:pPr>
        <w:autoSpaceDE w:val="0"/>
        <w:autoSpaceDN w:val="0"/>
        <w:adjustRightInd w:val="0"/>
        <w:ind w:firstLine="420"/>
        <w:rPr>
          <w:rFonts w:ascii="Times New Roman" w:hAnsi="Times New Roman"/>
          <w:szCs w:val="21"/>
          <w:highlight w:val="none"/>
        </w:rPr>
      </w:pPr>
      <w:r>
        <w:rPr>
          <w:rFonts w:hint="eastAsia" w:ascii="Times New Roman" w:hAnsi="Times New Roman"/>
          <w:szCs w:val="21"/>
          <w:highlight w:val="none"/>
          <w:lang w:val="en-US" w:eastAsia="zh-CN"/>
        </w:rPr>
        <w:t>06</w:t>
      </w:r>
      <w:r>
        <w:rPr>
          <w:rFonts w:ascii="Times New Roman" w:hAnsi="Times New Roman"/>
          <w:szCs w:val="21"/>
          <w:highlight w:val="none"/>
        </w:rPr>
        <w:t xml:space="preserve"> </w:t>
      </w:r>
      <w:r>
        <w:rPr>
          <w:rFonts w:ascii="Times New Roman" w:hAnsi="Times New Roman"/>
          <w:szCs w:val="21"/>
          <w:highlight w:val="none"/>
          <w:lang w:val="zh-CN"/>
        </w:rPr>
        <w:t>推进标准建设</w:t>
      </w:r>
    </w:p>
    <w:p w14:paraId="2ADA44E3">
      <w:pPr>
        <w:autoSpaceDE w:val="0"/>
        <w:autoSpaceDN w:val="0"/>
        <w:adjustRightInd w:val="0"/>
        <w:ind w:firstLine="420"/>
        <w:rPr>
          <w:rFonts w:ascii="Times New Roman" w:hAnsi="Times New Roman"/>
          <w:szCs w:val="21"/>
          <w:highlight w:val="none"/>
          <w:lang w:val="zh-CN"/>
        </w:rPr>
      </w:pPr>
      <w:r>
        <w:rPr>
          <w:rFonts w:hint="eastAsia" w:ascii="Times New Roman" w:hAnsi="Times New Roman"/>
          <w:szCs w:val="21"/>
          <w:highlight w:val="none"/>
          <w:lang w:val="en-US" w:eastAsia="zh-CN"/>
        </w:rPr>
        <w:t>07</w:t>
      </w:r>
      <w:r>
        <w:rPr>
          <w:rFonts w:ascii="Times New Roman" w:hAnsi="Times New Roman"/>
          <w:szCs w:val="21"/>
          <w:highlight w:val="none"/>
        </w:rPr>
        <w:t xml:space="preserve"> </w:t>
      </w:r>
      <w:r>
        <w:rPr>
          <w:rFonts w:ascii="Times New Roman" w:hAnsi="Times New Roman"/>
          <w:szCs w:val="21"/>
          <w:highlight w:val="none"/>
          <w:lang w:val="zh-CN"/>
        </w:rPr>
        <w:t>产品质量保障</w:t>
      </w:r>
    </w:p>
    <w:p w14:paraId="23C07DBD">
      <w:pPr>
        <w:autoSpaceDE w:val="0"/>
        <w:autoSpaceDN w:val="0"/>
        <w:adjustRightInd w:val="0"/>
        <w:ind w:firstLine="420"/>
        <w:rPr>
          <w:rFonts w:hint="default" w:ascii="Times New Roman" w:hAnsi="Times New Roman" w:eastAsia="宋体"/>
          <w:b/>
          <w:bCs/>
          <w:color w:val="0070C0"/>
          <w:sz w:val="28"/>
          <w:szCs w:val="28"/>
          <w:highlight w:val="none"/>
          <w:lang w:val="en-US" w:eastAsia="zh-CN"/>
        </w:rPr>
      </w:pPr>
      <w:r>
        <w:rPr>
          <w:rFonts w:ascii="Times New Roman" w:hAnsi="Times New Roman"/>
          <w:b/>
          <w:bCs/>
          <w:color w:val="0070C0"/>
          <w:sz w:val="28"/>
          <w:szCs w:val="28"/>
          <w:highlight w:val="none"/>
          <w:lang w:val="zh-CN"/>
        </w:rPr>
        <w:t>第二篇：</w:t>
      </w:r>
      <w:r>
        <w:rPr>
          <w:rFonts w:hint="eastAsia" w:ascii="Times New Roman" w:hAnsi="Times New Roman"/>
          <w:b/>
          <w:color w:val="0070C0"/>
          <w:sz w:val="28"/>
          <w:szCs w:val="28"/>
          <w:highlight w:val="none"/>
          <w:lang w:val="en-US" w:eastAsia="zh-CN"/>
        </w:rPr>
        <w:t>绿色生态 低碳运营</w:t>
      </w:r>
    </w:p>
    <w:p w14:paraId="7EA74F44">
      <w:pPr>
        <w:autoSpaceDE w:val="0"/>
        <w:autoSpaceDN w:val="0"/>
        <w:adjustRightInd w:val="0"/>
        <w:ind w:firstLine="420"/>
        <w:rPr>
          <w:rFonts w:ascii="Times New Roman" w:hAnsi="Times New Roman"/>
          <w:szCs w:val="21"/>
          <w:highlight w:val="none"/>
        </w:rPr>
      </w:pPr>
      <w:r>
        <w:rPr>
          <w:rFonts w:hint="eastAsia" w:ascii="Times New Roman" w:hAnsi="Times New Roman"/>
          <w:szCs w:val="21"/>
          <w:highlight w:val="none"/>
          <w:lang w:val="en-US" w:eastAsia="zh-CN"/>
        </w:rPr>
        <w:t>8</w:t>
      </w:r>
      <w:r>
        <w:rPr>
          <w:rFonts w:ascii="Times New Roman" w:hAnsi="Times New Roman"/>
          <w:szCs w:val="21"/>
          <w:highlight w:val="none"/>
        </w:rPr>
        <w:t xml:space="preserve"> </w:t>
      </w:r>
      <w:r>
        <w:rPr>
          <w:rFonts w:ascii="Times New Roman" w:hAnsi="Times New Roman"/>
          <w:kern w:val="0"/>
          <w:szCs w:val="21"/>
          <w:highlight w:val="none"/>
        </w:rPr>
        <w:t>遵守环保法律法规</w:t>
      </w:r>
    </w:p>
    <w:p w14:paraId="5A23F38C">
      <w:pPr>
        <w:autoSpaceDE w:val="0"/>
        <w:autoSpaceDN w:val="0"/>
        <w:adjustRightInd w:val="0"/>
        <w:ind w:firstLine="420"/>
        <w:rPr>
          <w:rFonts w:ascii="Times New Roman" w:hAnsi="Times New Roman"/>
          <w:szCs w:val="21"/>
          <w:highlight w:val="none"/>
        </w:rPr>
      </w:pPr>
      <w:r>
        <w:rPr>
          <w:rFonts w:hint="eastAsia" w:ascii="Times New Roman" w:hAnsi="Times New Roman"/>
          <w:szCs w:val="21"/>
          <w:highlight w:val="none"/>
          <w:lang w:val="en-US" w:eastAsia="zh-CN"/>
        </w:rPr>
        <w:t>8</w:t>
      </w:r>
      <w:r>
        <w:rPr>
          <w:rFonts w:ascii="Times New Roman" w:hAnsi="Times New Roman"/>
          <w:szCs w:val="21"/>
          <w:highlight w:val="none"/>
        </w:rPr>
        <w:t xml:space="preserve"> </w:t>
      </w:r>
      <w:r>
        <w:rPr>
          <w:rFonts w:hint="eastAsia" w:ascii="Times New Roman" w:hAnsi="Times New Roman"/>
          <w:szCs w:val="21"/>
          <w:highlight w:val="none"/>
          <w:lang w:val="en-US" w:eastAsia="zh-CN"/>
        </w:rPr>
        <w:t>绿色</w:t>
      </w:r>
      <w:r>
        <w:rPr>
          <w:rFonts w:ascii="Times New Roman" w:hAnsi="Times New Roman"/>
          <w:szCs w:val="21"/>
          <w:highlight w:val="none"/>
          <w:lang w:val="zh-CN"/>
        </w:rPr>
        <w:t>产品开发</w:t>
      </w:r>
    </w:p>
    <w:p w14:paraId="695169FD">
      <w:pPr>
        <w:autoSpaceDE w:val="0"/>
        <w:autoSpaceDN w:val="0"/>
        <w:adjustRightInd w:val="0"/>
        <w:ind w:firstLine="420"/>
        <w:rPr>
          <w:rFonts w:ascii="Times New Roman" w:hAnsi="Times New Roman"/>
          <w:szCs w:val="21"/>
          <w:highlight w:val="none"/>
        </w:rPr>
      </w:pPr>
      <w:r>
        <w:rPr>
          <w:rFonts w:hint="eastAsia" w:ascii="Times New Roman" w:hAnsi="Times New Roman"/>
          <w:szCs w:val="21"/>
          <w:highlight w:val="none"/>
          <w:lang w:val="en-US" w:eastAsia="zh-CN"/>
        </w:rPr>
        <w:t>9</w:t>
      </w:r>
      <w:r>
        <w:rPr>
          <w:rFonts w:ascii="Times New Roman" w:hAnsi="Times New Roman"/>
          <w:szCs w:val="21"/>
          <w:highlight w:val="none"/>
        </w:rPr>
        <w:t xml:space="preserve"> </w:t>
      </w:r>
      <w:r>
        <w:rPr>
          <w:rFonts w:ascii="Times New Roman" w:hAnsi="Times New Roman"/>
          <w:szCs w:val="21"/>
          <w:highlight w:val="none"/>
          <w:lang w:val="zh-CN"/>
        </w:rPr>
        <w:t>清洁生产</w:t>
      </w:r>
    </w:p>
    <w:p w14:paraId="447DC6E7">
      <w:pPr>
        <w:autoSpaceDE w:val="0"/>
        <w:autoSpaceDN w:val="0"/>
        <w:adjustRightInd w:val="0"/>
        <w:ind w:firstLine="420"/>
        <w:rPr>
          <w:rFonts w:ascii="Times New Roman" w:hAnsi="Times New Roman"/>
          <w:szCs w:val="21"/>
          <w:highlight w:val="none"/>
          <w:lang w:val="zh-CN"/>
        </w:rPr>
      </w:pPr>
      <w:r>
        <w:rPr>
          <w:rFonts w:hint="eastAsia" w:ascii="Times New Roman" w:hAnsi="Times New Roman"/>
          <w:szCs w:val="21"/>
          <w:highlight w:val="none"/>
          <w:lang w:val="en-US" w:eastAsia="zh-CN"/>
        </w:rPr>
        <w:t>9</w:t>
      </w:r>
      <w:r>
        <w:rPr>
          <w:rFonts w:ascii="Times New Roman" w:hAnsi="Times New Roman"/>
          <w:szCs w:val="21"/>
          <w:highlight w:val="none"/>
        </w:rPr>
        <w:t xml:space="preserve"> </w:t>
      </w:r>
      <w:r>
        <w:rPr>
          <w:rFonts w:ascii="Times New Roman" w:hAnsi="Times New Roman"/>
          <w:szCs w:val="21"/>
          <w:highlight w:val="none"/>
          <w:lang w:val="zh-CN"/>
        </w:rPr>
        <w:t>节能减排</w:t>
      </w:r>
    </w:p>
    <w:p w14:paraId="2A082286">
      <w:pPr>
        <w:autoSpaceDE w:val="0"/>
        <w:autoSpaceDN w:val="0"/>
        <w:adjustRightInd w:val="0"/>
        <w:ind w:firstLine="420"/>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9 环境责任</w:t>
      </w:r>
    </w:p>
    <w:p w14:paraId="7E3E9DB1">
      <w:pPr>
        <w:autoSpaceDE w:val="0"/>
        <w:autoSpaceDN w:val="0"/>
        <w:adjustRightInd w:val="0"/>
        <w:ind w:firstLine="420"/>
        <w:rPr>
          <w:rFonts w:ascii="Times New Roman" w:hAnsi="Times New Roman"/>
          <w:b/>
          <w:bCs/>
          <w:szCs w:val="21"/>
          <w:highlight w:val="none"/>
        </w:rPr>
      </w:pPr>
      <w:r>
        <w:rPr>
          <w:rFonts w:hint="eastAsia" w:ascii="Times New Roman" w:hAnsi="Times New Roman"/>
          <w:szCs w:val="21"/>
          <w:highlight w:val="none"/>
          <w:lang w:val="en-US" w:eastAsia="zh-CN"/>
        </w:rPr>
        <w:t>10</w:t>
      </w:r>
      <w:r>
        <w:rPr>
          <w:rFonts w:ascii="Times New Roman" w:hAnsi="Times New Roman"/>
          <w:szCs w:val="21"/>
          <w:highlight w:val="none"/>
        </w:rPr>
        <w:t xml:space="preserve"> 打造</w:t>
      </w:r>
      <w:r>
        <w:rPr>
          <w:rFonts w:ascii="Times New Roman" w:hAnsi="Times New Roman"/>
          <w:szCs w:val="21"/>
          <w:highlight w:val="none"/>
          <w:lang w:val="zh-CN"/>
        </w:rPr>
        <w:t>绿色供应链</w:t>
      </w:r>
    </w:p>
    <w:p w14:paraId="285E1AAC">
      <w:pPr>
        <w:autoSpaceDE w:val="0"/>
        <w:autoSpaceDN w:val="0"/>
        <w:adjustRightInd w:val="0"/>
        <w:ind w:firstLine="420"/>
        <w:rPr>
          <w:rFonts w:hint="default" w:ascii="Times New Roman" w:hAnsi="Times New Roman" w:eastAsia="宋体"/>
          <w:color w:val="0070C0"/>
          <w:szCs w:val="21"/>
          <w:highlight w:val="none"/>
          <w:lang w:val="en-US" w:eastAsia="zh-CN"/>
        </w:rPr>
      </w:pPr>
      <w:r>
        <w:rPr>
          <w:rFonts w:ascii="Times New Roman" w:hAnsi="Times New Roman"/>
          <w:b/>
          <w:bCs/>
          <w:color w:val="0070C0"/>
          <w:sz w:val="28"/>
          <w:szCs w:val="28"/>
          <w:highlight w:val="none"/>
          <w:lang w:val="zh-CN"/>
        </w:rPr>
        <w:t>第三篇：</w:t>
      </w:r>
      <w:r>
        <w:rPr>
          <w:rFonts w:hint="eastAsia" w:ascii="Times New Roman" w:hAnsi="Times New Roman"/>
          <w:b/>
          <w:color w:val="0070C0"/>
          <w:sz w:val="28"/>
          <w:szCs w:val="28"/>
          <w:highlight w:val="none"/>
          <w:lang w:val="en-US" w:eastAsia="zh-CN"/>
        </w:rPr>
        <w:t>包容关爱 与社会同行</w:t>
      </w:r>
    </w:p>
    <w:p w14:paraId="2A3CAD42">
      <w:pPr>
        <w:autoSpaceDE w:val="0"/>
        <w:autoSpaceDN w:val="0"/>
        <w:adjustRightInd w:val="0"/>
        <w:ind w:firstLine="420"/>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11</w:t>
      </w:r>
      <w:r>
        <w:rPr>
          <w:rFonts w:ascii="Times New Roman" w:hAnsi="Times New Roman"/>
          <w:szCs w:val="21"/>
          <w:highlight w:val="none"/>
        </w:rPr>
        <w:t xml:space="preserve"> </w:t>
      </w:r>
      <w:r>
        <w:rPr>
          <w:rFonts w:hint="eastAsia" w:ascii="Times New Roman" w:hAnsi="Times New Roman"/>
          <w:szCs w:val="21"/>
          <w:highlight w:val="none"/>
          <w:lang w:val="en-US" w:eastAsia="zh-CN"/>
        </w:rPr>
        <w:t>员工福祉</w:t>
      </w:r>
    </w:p>
    <w:p w14:paraId="69290A46">
      <w:pPr>
        <w:autoSpaceDE w:val="0"/>
        <w:autoSpaceDN w:val="0"/>
        <w:adjustRightInd w:val="0"/>
        <w:ind w:firstLine="420"/>
        <w:rPr>
          <w:rFonts w:hint="default" w:ascii="Times New Roman" w:hAnsi="Times New Roman" w:eastAsia="宋体"/>
          <w:szCs w:val="21"/>
          <w:highlight w:val="none"/>
          <w:lang w:val="en-US" w:eastAsia="zh-CN"/>
        </w:rPr>
      </w:pPr>
      <w:r>
        <w:rPr>
          <w:rFonts w:hint="eastAsia" w:ascii="Times New Roman" w:hAnsi="Times New Roman"/>
          <w:szCs w:val="21"/>
          <w:highlight w:val="none"/>
          <w:lang w:val="en-US" w:eastAsia="zh-CN"/>
        </w:rPr>
        <w:t>12</w:t>
      </w:r>
      <w:r>
        <w:rPr>
          <w:rFonts w:ascii="Times New Roman" w:hAnsi="Times New Roman"/>
          <w:szCs w:val="21"/>
          <w:highlight w:val="none"/>
        </w:rPr>
        <w:t xml:space="preserve"> </w:t>
      </w:r>
      <w:r>
        <w:rPr>
          <w:rFonts w:ascii="Times New Roman" w:hAnsi="Times New Roman"/>
          <w:szCs w:val="21"/>
          <w:highlight w:val="none"/>
          <w:lang w:val="zh-CN"/>
        </w:rPr>
        <w:t>社会公益</w:t>
      </w:r>
      <w:r>
        <w:rPr>
          <w:rFonts w:hint="eastAsia" w:ascii="Times New Roman" w:hAnsi="Times New Roman"/>
          <w:szCs w:val="21"/>
          <w:highlight w:val="none"/>
          <w:lang w:val="en-US" w:eastAsia="zh-CN"/>
        </w:rPr>
        <w:t>与社区贡献</w:t>
      </w:r>
    </w:p>
    <w:p w14:paraId="0025E64D">
      <w:pPr>
        <w:autoSpaceDE w:val="0"/>
        <w:autoSpaceDN w:val="0"/>
        <w:adjustRightInd w:val="0"/>
        <w:ind w:firstLine="420"/>
        <w:rPr>
          <w:rFonts w:ascii="Times New Roman" w:hAnsi="Times New Roman"/>
          <w:b/>
          <w:color w:val="0070C0"/>
          <w:sz w:val="28"/>
          <w:szCs w:val="28"/>
          <w:highlight w:val="none"/>
        </w:rPr>
      </w:pPr>
      <w:r>
        <w:rPr>
          <w:rFonts w:ascii="Times New Roman" w:hAnsi="Times New Roman"/>
          <w:b/>
          <w:color w:val="0070C0"/>
          <w:sz w:val="28"/>
          <w:szCs w:val="28"/>
          <w:highlight w:val="none"/>
        </w:rPr>
        <w:t>尾篇</w:t>
      </w:r>
    </w:p>
    <w:p w14:paraId="788C2B73">
      <w:pPr>
        <w:autoSpaceDE w:val="0"/>
        <w:autoSpaceDN w:val="0"/>
        <w:adjustRightInd w:val="0"/>
        <w:ind w:firstLine="420"/>
        <w:rPr>
          <w:rFonts w:ascii="Times New Roman" w:hAnsi="Times New Roman"/>
          <w:b/>
          <w:bCs/>
          <w:szCs w:val="21"/>
          <w:highlight w:val="none"/>
        </w:rPr>
      </w:pPr>
      <w:r>
        <w:rPr>
          <w:rFonts w:hint="eastAsia" w:ascii="Times New Roman" w:hAnsi="Times New Roman"/>
          <w:szCs w:val="21"/>
          <w:highlight w:val="none"/>
          <w:lang w:val="en-US" w:eastAsia="zh-CN"/>
        </w:rPr>
        <w:t>13</w:t>
      </w:r>
      <w:r>
        <w:rPr>
          <w:rFonts w:ascii="Times New Roman" w:hAnsi="Times New Roman"/>
          <w:szCs w:val="21"/>
          <w:highlight w:val="none"/>
        </w:rPr>
        <w:t xml:space="preserve"> </w:t>
      </w:r>
      <w:r>
        <w:rPr>
          <w:rFonts w:ascii="Times New Roman" w:hAnsi="Times New Roman"/>
          <w:szCs w:val="21"/>
          <w:highlight w:val="none"/>
          <w:lang w:val="zh-CN"/>
        </w:rPr>
        <w:t>社会责任体系建设</w:t>
      </w:r>
    </w:p>
    <w:p w14:paraId="413D73B1">
      <w:pPr>
        <w:ind w:firstLine="420" w:firstLineChars="200"/>
      </w:pPr>
      <w:r>
        <w:rPr>
          <w:rFonts w:hint="eastAsia" w:ascii="Times New Roman" w:hAnsi="Times New Roman"/>
          <w:szCs w:val="21"/>
          <w:highlight w:val="none"/>
          <w:lang w:val="en-US" w:eastAsia="zh-CN"/>
        </w:rPr>
        <w:t>13</w:t>
      </w:r>
      <w:r>
        <w:rPr>
          <w:rFonts w:ascii="Times New Roman" w:hAnsi="Times New Roman"/>
          <w:szCs w:val="21"/>
          <w:highlight w:val="none"/>
        </w:rPr>
        <w:t xml:space="preserve"> </w:t>
      </w:r>
      <w:r>
        <w:rPr>
          <w:rFonts w:ascii="Times New Roman" w:hAnsi="Times New Roman"/>
          <w:szCs w:val="21"/>
          <w:highlight w:val="none"/>
          <w:lang w:val="zh-CN"/>
        </w:rPr>
        <w:t>责任展望</w:t>
      </w:r>
    </w:p>
    <w:p w14:paraId="3BEDAFE6">
      <w:pPr>
        <w:ind w:firstLine="420"/>
        <w:rPr>
          <w:rFonts w:ascii="Times New Roman" w:hAnsi="Times New Roman"/>
          <w:b/>
          <w:szCs w:val="21"/>
          <w:highlight w:val="none"/>
        </w:rPr>
      </w:pPr>
    </w:p>
    <w:p w14:paraId="06DAE550">
      <w:pPr>
        <w:rPr>
          <w:rFonts w:ascii="Times New Roman" w:hAnsi="Times New Roman"/>
          <w:highlight w:val="none"/>
        </w:rPr>
        <w:sectPr>
          <w:headerReference r:id="rId5" w:type="default"/>
          <w:pgSz w:w="11906" w:h="16838"/>
          <w:pgMar w:top="1440" w:right="1800" w:bottom="1440" w:left="1800" w:header="851" w:footer="992" w:gutter="0"/>
          <w:cols w:space="425" w:num="1"/>
          <w:docGrid w:type="lines" w:linePitch="312" w:charSpace="0"/>
        </w:sectPr>
      </w:pPr>
    </w:p>
    <w:p w14:paraId="596A099E">
      <w:pPr>
        <w:rPr>
          <w:rFonts w:ascii="Times New Roman" w:hAnsi="Times New Roman"/>
          <w:highlight w:val="none"/>
        </w:rPr>
      </w:pPr>
    </w:p>
    <w:p w14:paraId="5C3A8B67">
      <w:pPr>
        <w:outlineLvl w:val="0"/>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●关于本报告</w:t>
      </w:r>
    </w:p>
    <w:p w14:paraId="597E7080">
      <w:pPr>
        <w:spacing w:beforeLines="50" w:afterLines="50"/>
        <w:rPr>
          <w:rFonts w:hint="eastAsia" w:ascii="Times New Roman" w:hAnsi="Times New Roman" w:eastAsia="宋体"/>
          <w:b/>
          <w:sz w:val="24"/>
          <w:szCs w:val="24"/>
          <w:highlight w:val="none"/>
          <w:lang w:val="en-US" w:eastAsia="zh-CN"/>
        </w:rPr>
      </w:pPr>
      <w:r>
        <w:rPr>
          <w:rFonts w:hint="eastAsia" w:ascii="宋体" w:hAnsi="宋体" w:cs="宋体"/>
          <w:b/>
          <w:sz w:val="24"/>
          <w:szCs w:val="24"/>
          <w:highlight w:val="none"/>
        </w:rPr>
        <w:t>◎</w:t>
      </w:r>
      <w:r>
        <w:rPr>
          <w:rFonts w:ascii="Times New Roman" w:hAnsi="Times New Roman"/>
          <w:b/>
          <w:sz w:val="24"/>
          <w:szCs w:val="24"/>
          <w:highlight w:val="none"/>
        </w:rPr>
        <w:t>报告</w:t>
      </w:r>
      <w:r>
        <w:rPr>
          <w:rFonts w:hint="eastAsia" w:ascii="Times New Roman" w:hAnsi="Times New Roman"/>
          <w:b/>
          <w:sz w:val="24"/>
          <w:szCs w:val="24"/>
          <w:highlight w:val="none"/>
          <w:lang w:val="en-US" w:eastAsia="zh-CN"/>
        </w:rPr>
        <w:t>简介</w:t>
      </w:r>
    </w:p>
    <w:p w14:paraId="0EF4D3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i w:val="0"/>
          <w:iCs w:val="0"/>
          <w:color w:val="auto"/>
          <w:highlight w:val="none"/>
          <w:lang w:val="en-US"/>
        </w:rPr>
      </w:pPr>
      <w:r>
        <w:rPr>
          <w:rFonts w:hint="eastAsia" w:ascii="Times New Roman" w:hAnsi="Times New Roman"/>
          <w:highlight w:val="none"/>
          <w:lang w:val="en-US" w:eastAsia="zh-CN"/>
        </w:rPr>
        <w:t>本报</w:t>
      </w:r>
      <w:r>
        <w:rPr>
          <w:rFonts w:hint="eastAsia" w:ascii="Times New Roman" w:hAnsi="Times New Roman"/>
          <w:i w:val="0"/>
          <w:iCs w:val="0"/>
          <w:color w:val="auto"/>
          <w:highlight w:val="none"/>
          <w:lang w:val="en-US" w:eastAsia="zh-CN"/>
        </w:rPr>
        <w:t>告是上海智金电器有限公司自2023年发布的第3份可持续发展/社会责任报告。本报告发布周期为一年一次，与财务年度保持一致。本报告本着客观、规范、透明和全面的原则，详细披露上海智金电器有限公司在2024年1月1日-2024年12月31日期间，在经济环境、社会和治理等领域的实践和绩效。</w:t>
      </w:r>
    </w:p>
    <w:p w14:paraId="3CEA651A">
      <w:pPr>
        <w:spacing w:beforeLines="50" w:afterLines="50"/>
        <w:rPr>
          <w:rFonts w:ascii="Times New Roman" w:hAnsi="Times New Roman"/>
          <w:b/>
          <w:i w:val="0"/>
          <w:iCs w:val="0"/>
          <w:color w:val="auto"/>
          <w:sz w:val="24"/>
          <w:szCs w:val="24"/>
          <w:highlight w:val="none"/>
        </w:rPr>
      </w:pPr>
      <w:r>
        <w:rPr>
          <w:rFonts w:hint="eastAsia" w:ascii="宋体" w:hAnsi="宋体" w:cs="宋体"/>
          <w:b/>
          <w:i w:val="0"/>
          <w:iCs w:val="0"/>
          <w:color w:val="auto"/>
          <w:sz w:val="24"/>
          <w:szCs w:val="24"/>
          <w:highlight w:val="none"/>
        </w:rPr>
        <w:t>◎</w:t>
      </w:r>
      <w:r>
        <w:rPr>
          <w:rFonts w:ascii="Times New Roman" w:hAnsi="Times New Roman"/>
          <w:b/>
          <w:i w:val="0"/>
          <w:iCs w:val="0"/>
          <w:color w:val="auto"/>
          <w:sz w:val="24"/>
          <w:szCs w:val="24"/>
          <w:highlight w:val="none"/>
        </w:rPr>
        <w:t>报告范围</w:t>
      </w:r>
    </w:p>
    <w:p w14:paraId="130C48E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i w:val="0"/>
          <w:iCs w:val="0"/>
          <w:color w:val="auto"/>
          <w:highlight w:val="none"/>
        </w:rPr>
      </w:pPr>
      <w:r>
        <w:rPr>
          <w:rFonts w:ascii="Times New Roman" w:hAnsi="Times New Roman"/>
          <w:i w:val="0"/>
          <w:iCs w:val="0"/>
          <w:color w:val="auto"/>
          <w:highlight w:val="none"/>
        </w:rPr>
        <w:t>除特别说明，本报告中的数据与案例均来源于</w:t>
      </w:r>
      <w:r>
        <w:rPr>
          <w:rFonts w:hint="eastAsia" w:ascii="Times New Roman" w:hAnsi="Times New Roman"/>
          <w:i w:val="0"/>
          <w:iCs w:val="0"/>
          <w:color w:val="auto"/>
          <w:highlight w:val="none"/>
          <w:lang w:val="en-US" w:eastAsia="zh-CN"/>
        </w:rPr>
        <w:t>上海智金电器有限公司</w:t>
      </w:r>
      <w:r>
        <w:rPr>
          <w:rFonts w:ascii="Times New Roman" w:hAnsi="Times New Roman"/>
          <w:i w:val="0"/>
          <w:iCs w:val="0"/>
          <w:color w:val="auto"/>
          <w:highlight w:val="none"/>
        </w:rPr>
        <w:t>。</w:t>
      </w:r>
    </w:p>
    <w:p w14:paraId="6BAB8CC3">
      <w:pPr>
        <w:numPr>
          <w:ilvl w:val="0"/>
          <w:numId w:val="0"/>
        </w:numPr>
        <w:spacing w:beforeLines="50" w:afterLines="50"/>
        <w:ind w:leftChars="0"/>
        <w:rPr>
          <w:rFonts w:ascii="Times New Roman" w:hAnsi="Times New Roman"/>
          <w:b/>
          <w:sz w:val="24"/>
          <w:szCs w:val="24"/>
          <w:highlight w:val="none"/>
        </w:rPr>
      </w:pPr>
      <w:r>
        <w:rPr>
          <w:rFonts w:hint="eastAsia" w:ascii="宋体" w:hAnsi="宋体" w:cs="宋体"/>
          <w:b/>
          <w:sz w:val="24"/>
          <w:szCs w:val="24"/>
          <w:highlight w:val="none"/>
        </w:rPr>
        <w:t>◎</w:t>
      </w:r>
      <w:r>
        <w:rPr>
          <w:rFonts w:ascii="Times New Roman" w:hAnsi="Times New Roman"/>
          <w:b/>
          <w:sz w:val="24"/>
          <w:szCs w:val="24"/>
          <w:highlight w:val="none"/>
        </w:rPr>
        <w:t>报告标准</w:t>
      </w:r>
    </w:p>
    <w:p w14:paraId="27F0E7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hint="eastAsia" w:ascii="Times New Roman" w:hAnsi="Times New Roman"/>
          <w:highlight w:val="none"/>
        </w:rPr>
        <w:t>《中国工业企业及工业协会社会责任指南》（2.0版）</w:t>
      </w:r>
    </w:p>
    <w:p w14:paraId="1C6D60FF">
      <w:pPr>
        <w:spacing w:beforeLines="50" w:afterLines="50"/>
        <w:rPr>
          <w:rFonts w:hint="eastAsia" w:ascii="Times New Roman" w:hAnsi="Times New Roman"/>
          <w:b/>
          <w:sz w:val="24"/>
          <w:szCs w:val="24"/>
          <w:highlight w:val="none"/>
          <w:lang w:val="en-US" w:eastAsia="zh-CN"/>
        </w:rPr>
      </w:pPr>
      <w:r>
        <w:rPr>
          <w:rFonts w:hint="eastAsia" w:ascii="宋体" w:hAnsi="宋体" w:cs="宋体"/>
          <w:b/>
          <w:sz w:val="24"/>
          <w:szCs w:val="24"/>
          <w:highlight w:val="none"/>
        </w:rPr>
        <w:t>◎</w:t>
      </w:r>
      <w:r>
        <w:rPr>
          <w:rFonts w:hint="eastAsia" w:ascii="Times New Roman" w:hAnsi="Times New Roman"/>
          <w:b/>
          <w:sz w:val="24"/>
          <w:szCs w:val="24"/>
          <w:highlight w:val="none"/>
          <w:lang w:val="en-US" w:eastAsia="zh-CN"/>
        </w:rPr>
        <w:t>数据来源</w:t>
      </w:r>
    </w:p>
    <w:p w14:paraId="2D31F3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olor w:val="auto"/>
          <w:highlight w:val="none"/>
          <w:lang w:val="en-US" w:eastAsia="zh-CN"/>
        </w:rPr>
      </w:pPr>
      <w:r>
        <w:rPr>
          <w:rFonts w:hint="default" w:ascii="Times New Roman" w:hAnsi="Times New Roman"/>
          <w:highlight w:val="none"/>
          <w:lang w:val="en-US" w:eastAsia="zh-CN"/>
        </w:rPr>
        <w:t>报告使用数据来源包括</w:t>
      </w:r>
      <w:r>
        <w:rPr>
          <w:rFonts w:hint="eastAsia" w:ascii="Times New Roman" w:hAnsi="Times New Roman"/>
          <w:i w:val="0"/>
          <w:iCs w:val="0"/>
          <w:color w:val="auto"/>
          <w:highlight w:val="none"/>
          <w:lang w:val="en-US" w:eastAsia="zh-CN"/>
        </w:rPr>
        <w:t>上海智金电器有限公司</w:t>
      </w:r>
      <w:r>
        <w:rPr>
          <w:rFonts w:hint="default" w:ascii="Times New Roman" w:hAnsi="Times New Roman"/>
          <w:highlight w:val="none"/>
          <w:lang w:val="en-US" w:eastAsia="zh-CN"/>
        </w:rPr>
        <w:t>内部相关统计、公开报告或报道，以及第三方调查或访谈、</w:t>
      </w:r>
      <w:r>
        <w:rPr>
          <w:rFonts w:hint="default" w:ascii="Times New Roman" w:hAnsi="Times New Roman"/>
          <w:color w:val="auto"/>
          <w:highlight w:val="none"/>
          <w:lang w:val="en-US" w:eastAsia="zh-CN"/>
        </w:rPr>
        <w:t>政府部门、专业机构等公开数据等</w:t>
      </w:r>
      <w:r>
        <w:rPr>
          <w:rFonts w:hint="eastAsia" w:ascii="Times New Roman" w:hAnsi="Times New Roman"/>
          <w:color w:val="auto"/>
          <w:highlight w:val="none"/>
          <w:lang w:val="en-US" w:eastAsia="zh-CN"/>
        </w:rPr>
        <w:t>。</w:t>
      </w:r>
    </w:p>
    <w:p w14:paraId="399665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color w:val="auto"/>
          <w:highlight w:val="none"/>
        </w:rPr>
        <w:t>本报告所引用的</w:t>
      </w:r>
      <w:r>
        <w:rPr>
          <w:rFonts w:hint="eastAsia" w:ascii="Times New Roman" w:hAnsi="Times New Roman"/>
          <w:color w:val="auto"/>
          <w:highlight w:val="none"/>
          <w:lang w:eastAsia="zh-CN"/>
        </w:rPr>
        <w:t>202</w:t>
      </w:r>
      <w:r>
        <w:rPr>
          <w:rFonts w:hint="eastAsia" w:ascii="Times New Roman" w:hAnsi="Times New Roman"/>
          <w:color w:val="auto"/>
          <w:highlight w:val="none"/>
          <w:lang w:val="en-US" w:eastAsia="zh-CN"/>
        </w:rPr>
        <w:t>4</w:t>
      </w:r>
      <w:r>
        <w:rPr>
          <w:rFonts w:ascii="Times New Roman" w:hAnsi="Times New Roman"/>
          <w:color w:val="auto"/>
          <w:highlight w:val="none"/>
        </w:rPr>
        <w:t>年数据为最终</w:t>
      </w:r>
      <w:r>
        <w:rPr>
          <w:rFonts w:ascii="Times New Roman" w:hAnsi="Times New Roman"/>
          <w:highlight w:val="none"/>
        </w:rPr>
        <w:t>统计数据。</w:t>
      </w:r>
    </w:p>
    <w:p w14:paraId="100711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披露的财务数据如与年度财务报告有出入，以年度财务报告为准。</w:t>
      </w:r>
    </w:p>
    <w:p w14:paraId="03B157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本报告中数据信</w:t>
      </w:r>
      <w:r>
        <w:rPr>
          <w:rFonts w:ascii="Times New Roman" w:hAnsi="Times New Roman"/>
          <w:i w:val="0"/>
          <w:iCs w:val="0"/>
          <w:color w:val="auto"/>
          <w:highlight w:val="none"/>
        </w:rPr>
        <w:t>息均由</w:t>
      </w:r>
      <w:r>
        <w:rPr>
          <w:rFonts w:hint="eastAsia" w:ascii="Times New Roman" w:hAnsi="Times New Roman"/>
          <w:b w:val="0"/>
          <w:bCs w:val="0"/>
          <w:i w:val="0"/>
          <w:iCs w:val="0"/>
          <w:color w:val="auto"/>
          <w:highlight w:val="none"/>
          <w:lang w:val="en-US" w:eastAsia="zh-CN"/>
        </w:rPr>
        <w:t>质检部、财务部、采购部等</w:t>
      </w:r>
      <w:r>
        <w:rPr>
          <w:rFonts w:ascii="Times New Roman" w:hAnsi="Times New Roman"/>
          <w:i w:val="0"/>
          <w:iCs w:val="0"/>
          <w:color w:val="auto"/>
          <w:highlight w:val="none"/>
        </w:rPr>
        <w:t>相关部</w:t>
      </w:r>
      <w:r>
        <w:rPr>
          <w:rFonts w:ascii="Times New Roman" w:hAnsi="Times New Roman"/>
          <w:highlight w:val="none"/>
        </w:rPr>
        <w:t>门提供。</w:t>
      </w:r>
    </w:p>
    <w:p w14:paraId="3DC4FA0F">
      <w:pPr>
        <w:spacing w:beforeLines="50" w:afterLines="50"/>
        <w:rPr>
          <w:rFonts w:hint="default" w:ascii="Times New Roman" w:hAnsi="Times New Roman"/>
          <w:b/>
          <w:sz w:val="24"/>
          <w:szCs w:val="24"/>
          <w:highlight w:val="none"/>
          <w:lang w:val="en-US" w:eastAsia="zh-CN"/>
        </w:rPr>
      </w:pPr>
      <w:r>
        <w:rPr>
          <w:rFonts w:hint="eastAsia" w:ascii="宋体" w:hAnsi="宋体" w:cs="宋体"/>
          <w:b/>
          <w:sz w:val="24"/>
          <w:szCs w:val="24"/>
          <w:highlight w:val="none"/>
        </w:rPr>
        <w:t>◎</w:t>
      </w:r>
      <w:r>
        <w:rPr>
          <w:rFonts w:hint="eastAsia" w:ascii="Times New Roman" w:hAnsi="Times New Roman"/>
          <w:b/>
          <w:sz w:val="24"/>
          <w:szCs w:val="24"/>
          <w:highlight w:val="none"/>
          <w:lang w:val="en-US" w:eastAsia="zh-CN"/>
        </w:rPr>
        <w:t>称谓说明</w:t>
      </w:r>
    </w:p>
    <w:p w14:paraId="58E332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在本报告</w:t>
      </w:r>
      <w:r>
        <w:rPr>
          <w:rFonts w:ascii="Times New Roman" w:hAnsi="Times New Roman"/>
          <w:i w:val="0"/>
          <w:iCs w:val="0"/>
          <w:color w:val="auto"/>
          <w:highlight w:val="none"/>
        </w:rPr>
        <w:t>中，</w:t>
      </w:r>
      <w:r>
        <w:rPr>
          <w:rFonts w:ascii="Times New Roman" w:hAnsi="Times New Roman"/>
          <w:b w:val="0"/>
          <w:bCs w:val="0"/>
          <w:i w:val="0"/>
          <w:iCs w:val="0"/>
          <w:color w:val="auto"/>
          <w:highlight w:val="none"/>
        </w:rPr>
        <w:t>“</w:t>
      </w:r>
      <w:r>
        <w:rPr>
          <w:rFonts w:hint="eastAsia" w:ascii="Times New Roman" w:hAnsi="Times New Roman"/>
          <w:b w:val="0"/>
          <w:bCs w:val="0"/>
          <w:i w:val="0"/>
          <w:iCs w:val="0"/>
          <w:color w:val="auto"/>
          <w:highlight w:val="none"/>
          <w:lang w:val="en-US" w:eastAsia="zh-CN"/>
        </w:rPr>
        <w:t>上海智金电器</w:t>
      </w:r>
      <w:r>
        <w:rPr>
          <w:rFonts w:ascii="Times New Roman" w:hAnsi="Times New Roman"/>
          <w:b w:val="0"/>
          <w:bCs w:val="0"/>
          <w:i w:val="0"/>
          <w:iCs w:val="0"/>
          <w:color w:val="auto"/>
          <w:highlight w:val="none"/>
        </w:rPr>
        <w:t>”</w:t>
      </w:r>
      <w:r>
        <w:rPr>
          <w:rFonts w:ascii="Times New Roman" w:hAnsi="Times New Roman"/>
          <w:i w:val="0"/>
          <w:iCs w:val="0"/>
          <w:color w:val="auto"/>
          <w:highlight w:val="none"/>
        </w:rPr>
        <w:t>、“</w:t>
      </w:r>
      <w:r>
        <w:rPr>
          <w:rFonts w:hint="eastAsia" w:ascii="Times New Roman" w:hAnsi="Times New Roman"/>
          <w:b w:val="0"/>
          <w:bCs w:val="0"/>
          <w:i w:val="0"/>
          <w:iCs w:val="0"/>
          <w:color w:val="auto"/>
          <w:highlight w:val="none"/>
          <w:lang w:val="en-US" w:eastAsia="zh-CN"/>
        </w:rPr>
        <w:t>智金</w:t>
      </w:r>
      <w:r>
        <w:rPr>
          <w:rFonts w:ascii="Times New Roman" w:hAnsi="Times New Roman"/>
          <w:i w:val="0"/>
          <w:iCs w:val="0"/>
          <w:color w:val="auto"/>
          <w:highlight w:val="none"/>
        </w:rPr>
        <w:t>”、“企业”、“公司”、“我们”均指</w:t>
      </w:r>
      <w:r>
        <w:rPr>
          <w:rFonts w:ascii="Times New Roman" w:hAnsi="Times New Roman"/>
          <w:b w:val="0"/>
          <w:bCs w:val="0"/>
          <w:i w:val="0"/>
          <w:iCs w:val="0"/>
          <w:color w:val="auto"/>
          <w:highlight w:val="none"/>
        </w:rPr>
        <w:t>“</w:t>
      </w:r>
      <w:r>
        <w:rPr>
          <w:rFonts w:hint="eastAsia" w:ascii="Times New Roman" w:hAnsi="Times New Roman"/>
          <w:b w:val="0"/>
          <w:bCs w:val="0"/>
          <w:i w:val="0"/>
          <w:iCs w:val="0"/>
          <w:color w:val="auto"/>
          <w:highlight w:val="none"/>
          <w:lang w:val="en-US" w:eastAsia="zh-CN"/>
        </w:rPr>
        <w:t>上海智金电器</w:t>
      </w:r>
      <w:r>
        <w:rPr>
          <w:rFonts w:hint="eastAsia" w:ascii="Times New Roman" w:hAnsi="Times New Roman"/>
          <w:i w:val="0"/>
          <w:iCs w:val="0"/>
          <w:color w:val="auto"/>
          <w:highlight w:val="none"/>
        </w:rPr>
        <w:t>有限公司</w:t>
      </w:r>
      <w:r>
        <w:rPr>
          <w:rFonts w:ascii="Times New Roman" w:hAnsi="Times New Roman"/>
          <w:i w:val="0"/>
          <w:iCs w:val="0"/>
          <w:color w:val="auto"/>
          <w:highlight w:val="none"/>
        </w:rPr>
        <w:t>”，与此相对应的数据和事实也仅限于</w:t>
      </w:r>
      <w:r>
        <w:rPr>
          <w:rFonts w:hint="eastAsia" w:ascii="Times New Roman" w:hAnsi="Times New Roman"/>
          <w:b w:val="0"/>
          <w:bCs w:val="0"/>
          <w:i w:val="0"/>
          <w:iCs w:val="0"/>
          <w:color w:val="auto"/>
          <w:highlight w:val="none"/>
          <w:lang w:val="en-US" w:eastAsia="zh-CN"/>
        </w:rPr>
        <w:t>上海智金电器</w:t>
      </w:r>
      <w:r>
        <w:rPr>
          <w:rFonts w:hint="eastAsia" w:ascii="Times New Roman" w:hAnsi="Times New Roman"/>
          <w:i w:val="0"/>
          <w:iCs w:val="0"/>
          <w:color w:val="auto"/>
          <w:highlight w:val="none"/>
        </w:rPr>
        <w:t>有限公司</w:t>
      </w:r>
      <w:r>
        <w:rPr>
          <w:rFonts w:ascii="Times New Roman" w:hAnsi="Times New Roman"/>
          <w:i w:val="0"/>
          <w:iCs w:val="0"/>
          <w:color w:val="auto"/>
          <w:highlight w:val="none"/>
        </w:rPr>
        <w:t>。</w:t>
      </w:r>
    </w:p>
    <w:p w14:paraId="5E96B7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p>
    <w:p w14:paraId="2C9F950C">
      <w:pPr>
        <w:outlineLvl w:val="0"/>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●公司概况</w:t>
      </w:r>
    </w:p>
    <w:p w14:paraId="556C8D45">
      <w:pPr>
        <w:spacing w:line="400" w:lineRule="exact"/>
        <w:rPr>
          <w:rFonts w:ascii="Times New Roman" w:hAnsi="Times New Roman"/>
          <w:b/>
          <w:sz w:val="24"/>
          <w:szCs w:val="24"/>
          <w:highlight w:val="none"/>
        </w:rPr>
      </w:pPr>
    </w:p>
    <w:p w14:paraId="77160FB8">
      <w:pPr>
        <w:spacing w:line="400" w:lineRule="exact"/>
        <w:jc w:val="center"/>
        <w:rPr>
          <w:rFonts w:hint="default" w:ascii="Times New Roman" w:hAnsi="Times New Roman" w:eastAsia="宋体"/>
          <w:b/>
          <w:sz w:val="24"/>
          <w:szCs w:val="24"/>
          <w:highlight w:val="none"/>
          <w:lang w:val="en-US" w:eastAsia="zh-CN"/>
        </w:rPr>
      </w:pPr>
      <w:r>
        <w:rPr>
          <w:rFonts w:hint="eastAsia" w:ascii="Times New Roman" w:hAnsi="Times New Roman"/>
          <w:b/>
          <w:sz w:val="24"/>
          <w:szCs w:val="24"/>
          <w:highlight w:val="none"/>
          <w:lang w:val="en-US" w:eastAsia="zh-CN"/>
        </w:rPr>
        <w:t>公司概况</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6583"/>
      </w:tblGrid>
      <w:tr w14:paraId="2DD4F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tcPr>
          <w:p w14:paraId="6C25A0B1">
            <w:pPr>
              <w:spacing w:line="400" w:lineRule="exact"/>
              <w:jc w:val="center"/>
              <w:rPr>
                <w:rFonts w:hint="default" w:ascii="Times New Roman" w:hAnsi="Times New Roman" w:eastAsia="宋体"/>
                <w:b/>
                <w:sz w:val="32"/>
                <w:szCs w:val="32"/>
                <w:highlight w:val="none"/>
                <w:vertAlign w:val="baseline"/>
                <w:lang w:val="en-US" w:eastAsia="zh-CN"/>
              </w:rPr>
            </w:pPr>
            <w:r>
              <w:rPr>
                <w:rFonts w:hint="eastAsia" w:ascii="Times New Roman" w:hAnsi="Times New Roman"/>
                <w:b/>
                <w:sz w:val="24"/>
                <w:szCs w:val="24"/>
                <w:highlight w:val="none"/>
                <w:lang w:val="en-US" w:eastAsia="zh-CN"/>
              </w:rPr>
              <w:t>公司中文名</w:t>
            </w:r>
          </w:p>
        </w:tc>
        <w:tc>
          <w:tcPr>
            <w:tcW w:w="6583" w:type="dxa"/>
          </w:tcPr>
          <w:p w14:paraId="58C136D0">
            <w:pPr>
              <w:spacing w:line="400" w:lineRule="exact"/>
              <w:jc w:val="center"/>
              <w:rPr>
                <w:rFonts w:hint="default" w:ascii="Times New Roman" w:hAnsi="Times New Roman" w:eastAsia="宋体"/>
                <w:b/>
                <w:sz w:val="32"/>
                <w:szCs w:val="32"/>
                <w:highlight w:val="none"/>
                <w:vertAlign w:val="baseline"/>
                <w:lang w:val="en-US" w:eastAsia="zh-CN"/>
              </w:rPr>
            </w:pPr>
            <w:r>
              <w:rPr>
                <w:rFonts w:hint="eastAsia" w:ascii="Times New Roman" w:hAnsi="Times New Roman"/>
                <w:b/>
                <w:color w:val="auto"/>
                <w:sz w:val="21"/>
                <w:szCs w:val="21"/>
                <w:highlight w:val="none"/>
                <w:vertAlign w:val="baseline"/>
                <w:lang w:val="en-US" w:eastAsia="zh-CN"/>
              </w:rPr>
              <w:t>上海智金电器有限公司</w:t>
            </w:r>
          </w:p>
        </w:tc>
      </w:tr>
      <w:tr w14:paraId="3751C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tcPr>
          <w:p w14:paraId="16AA03CC">
            <w:pPr>
              <w:spacing w:line="400" w:lineRule="exact"/>
              <w:jc w:val="center"/>
              <w:rPr>
                <w:rFonts w:hint="default" w:ascii="Times New Roman" w:hAnsi="Times New Roman"/>
                <w:b/>
                <w:sz w:val="24"/>
                <w:szCs w:val="24"/>
                <w:highlight w:val="none"/>
                <w:lang w:val="en-US" w:eastAsia="zh-CN"/>
              </w:rPr>
            </w:pPr>
            <w:r>
              <w:rPr>
                <w:rFonts w:hint="eastAsia" w:ascii="Times New Roman" w:hAnsi="Times New Roman"/>
                <w:b/>
                <w:sz w:val="24"/>
                <w:szCs w:val="24"/>
                <w:highlight w:val="none"/>
                <w:lang w:val="en-US" w:eastAsia="zh-CN"/>
              </w:rPr>
              <w:t>公司英文名</w:t>
            </w:r>
          </w:p>
        </w:tc>
        <w:tc>
          <w:tcPr>
            <w:tcW w:w="6583" w:type="dxa"/>
          </w:tcPr>
          <w:p w14:paraId="05C9E1B9">
            <w:pPr>
              <w:spacing w:line="400" w:lineRule="exact"/>
              <w:jc w:val="center"/>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Shanghai Zhijin Electric Appliance Co. , Ltd.</w:t>
            </w:r>
          </w:p>
        </w:tc>
      </w:tr>
      <w:tr w14:paraId="4352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tcPr>
          <w:p w14:paraId="012D67D1">
            <w:pPr>
              <w:spacing w:line="400" w:lineRule="exact"/>
              <w:jc w:val="center"/>
              <w:rPr>
                <w:rFonts w:hint="default" w:ascii="Times New Roman" w:hAnsi="Times New Roman"/>
                <w:b/>
                <w:sz w:val="24"/>
                <w:szCs w:val="24"/>
                <w:highlight w:val="none"/>
                <w:lang w:val="en-US" w:eastAsia="zh-CN"/>
              </w:rPr>
            </w:pPr>
            <w:r>
              <w:rPr>
                <w:rFonts w:hint="eastAsia" w:ascii="Times New Roman" w:hAnsi="Times New Roman"/>
                <w:b/>
                <w:sz w:val="24"/>
                <w:szCs w:val="24"/>
                <w:highlight w:val="none"/>
                <w:lang w:val="en-US" w:eastAsia="zh-CN"/>
              </w:rPr>
              <w:t>注册资本</w:t>
            </w:r>
          </w:p>
        </w:tc>
        <w:tc>
          <w:tcPr>
            <w:tcW w:w="6583" w:type="dxa"/>
          </w:tcPr>
          <w:p w14:paraId="0C113D1F">
            <w:pPr>
              <w:spacing w:line="400" w:lineRule="exact"/>
              <w:jc w:val="center"/>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5000万（人民币）</w:t>
            </w:r>
          </w:p>
        </w:tc>
      </w:tr>
      <w:tr w14:paraId="57C8B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tcPr>
          <w:p w14:paraId="7CC7AF8D">
            <w:pPr>
              <w:spacing w:line="400" w:lineRule="exact"/>
              <w:jc w:val="center"/>
              <w:rPr>
                <w:rFonts w:hint="default" w:ascii="Times New Roman" w:hAnsi="Times New Roman"/>
                <w:b/>
                <w:sz w:val="24"/>
                <w:szCs w:val="24"/>
                <w:highlight w:val="none"/>
                <w:lang w:val="en-US" w:eastAsia="zh-CN"/>
              </w:rPr>
            </w:pPr>
            <w:r>
              <w:rPr>
                <w:rFonts w:hint="eastAsia" w:ascii="Times New Roman" w:hAnsi="Times New Roman"/>
                <w:b/>
                <w:sz w:val="24"/>
                <w:szCs w:val="24"/>
                <w:highlight w:val="none"/>
                <w:lang w:val="en-US" w:eastAsia="zh-CN"/>
              </w:rPr>
              <w:t>注册时间</w:t>
            </w:r>
          </w:p>
        </w:tc>
        <w:tc>
          <w:tcPr>
            <w:tcW w:w="6583" w:type="dxa"/>
          </w:tcPr>
          <w:p w14:paraId="08FC2A59">
            <w:pPr>
              <w:spacing w:line="400" w:lineRule="exact"/>
              <w:jc w:val="center"/>
              <w:rPr>
                <w:rFonts w:hint="default"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2001.3.9</w:t>
            </w:r>
          </w:p>
        </w:tc>
      </w:tr>
      <w:tr w14:paraId="1491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tcPr>
          <w:p w14:paraId="10FE3799">
            <w:pPr>
              <w:spacing w:line="400" w:lineRule="exact"/>
              <w:jc w:val="center"/>
              <w:rPr>
                <w:rFonts w:hint="default" w:ascii="Times New Roman" w:hAnsi="Times New Roman"/>
                <w:b/>
                <w:sz w:val="24"/>
                <w:szCs w:val="24"/>
                <w:highlight w:val="none"/>
                <w:lang w:val="en-US" w:eastAsia="zh-CN"/>
              </w:rPr>
            </w:pPr>
            <w:r>
              <w:rPr>
                <w:rFonts w:hint="eastAsia" w:ascii="Times New Roman" w:hAnsi="Times New Roman"/>
                <w:b/>
                <w:sz w:val="24"/>
                <w:szCs w:val="24"/>
                <w:highlight w:val="none"/>
                <w:lang w:val="en-US" w:eastAsia="zh-CN"/>
              </w:rPr>
              <w:t>经营范围</w:t>
            </w:r>
          </w:p>
        </w:tc>
        <w:tc>
          <w:tcPr>
            <w:tcW w:w="6583" w:type="dxa"/>
          </w:tcPr>
          <w:p w14:paraId="690C62DC">
            <w:pPr>
              <w:spacing w:line="400" w:lineRule="exact"/>
              <w:jc w:val="center"/>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许可项目：道路货物运输（不含危险货物）；一般项目：配电开关控制设备制造；电力设施器材制造；塑料制品制造；五金产品制造；电子元器件批发；电子元器件零售；玻璃纤维增强塑料制品销售；技术服务、技术开发、技术咨询、技术交流、技术转让、技术推广</w:t>
            </w:r>
          </w:p>
        </w:tc>
      </w:tr>
      <w:tr w14:paraId="0D95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9" w:type="dxa"/>
          </w:tcPr>
          <w:p w14:paraId="23C6C747">
            <w:pPr>
              <w:spacing w:line="400" w:lineRule="exact"/>
              <w:jc w:val="center"/>
              <w:rPr>
                <w:rFonts w:hint="default" w:ascii="Times New Roman" w:hAnsi="Times New Roman"/>
                <w:b/>
                <w:sz w:val="24"/>
                <w:szCs w:val="24"/>
                <w:highlight w:val="none"/>
                <w:lang w:val="en-US" w:eastAsia="zh-CN"/>
              </w:rPr>
            </w:pPr>
            <w:r>
              <w:rPr>
                <w:rFonts w:hint="eastAsia" w:ascii="Times New Roman" w:hAnsi="Times New Roman"/>
                <w:b/>
                <w:sz w:val="24"/>
                <w:szCs w:val="24"/>
                <w:highlight w:val="none"/>
                <w:lang w:val="en-US" w:eastAsia="zh-CN"/>
              </w:rPr>
              <w:t>行业代码</w:t>
            </w:r>
          </w:p>
        </w:tc>
        <w:tc>
          <w:tcPr>
            <w:tcW w:w="6583" w:type="dxa"/>
          </w:tcPr>
          <w:p w14:paraId="3D1675CF">
            <w:pPr>
              <w:spacing w:line="400" w:lineRule="exact"/>
              <w:jc w:val="center"/>
              <w:rPr>
                <w:rFonts w:hint="eastAsia" w:ascii="Times New Roman" w:hAnsi="Times New Roman" w:eastAsia="宋体" w:cs="Times New Roman"/>
                <w:b/>
                <w:color w:val="auto"/>
                <w:sz w:val="21"/>
                <w:szCs w:val="21"/>
                <w:highlight w:val="none"/>
                <w:vertAlign w:val="baseline"/>
                <w:lang w:val="en-US" w:eastAsia="zh-CN"/>
              </w:rPr>
            </w:pPr>
            <w:r>
              <w:rPr>
                <w:rFonts w:hint="eastAsia" w:ascii="Times New Roman" w:hAnsi="Times New Roman" w:eastAsia="宋体" w:cs="Times New Roman"/>
                <w:b/>
                <w:color w:val="auto"/>
                <w:sz w:val="21"/>
                <w:szCs w:val="21"/>
                <w:highlight w:val="none"/>
                <w:vertAlign w:val="baseline"/>
                <w:lang w:val="en-US" w:eastAsia="zh-CN"/>
              </w:rPr>
              <w:t>C3823配电开关控制设备制造</w:t>
            </w:r>
          </w:p>
        </w:tc>
      </w:tr>
    </w:tbl>
    <w:p w14:paraId="2CD35E4D">
      <w:pPr>
        <w:spacing w:line="400" w:lineRule="exact"/>
        <w:rPr>
          <w:rFonts w:ascii="Times New Roman" w:hAnsi="Times New Roman"/>
          <w:b/>
          <w:sz w:val="32"/>
          <w:szCs w:val="32"/>
          <w:highlight w:val="none"/>
        </w:rPr>
      </w:pPr>
    </w:p>
    <w:p w14:paraId="7C52A9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上海智金电器有限公司成立于2001年3月9号成立，主要生产：高低压开关柜生产，专业生产控制箱及住户配电箱、熔断器接线端子、导线分流器、计量柜、上海电表箱等设备及配件。公司占地面积19340平方米，拥有国家标准厂房15800平方米；根据发展需要，2013公司已新购地20010平方米，已新建国家标准厂房22000平方米，公司现有员工60名，其中包含5名共产党员。2015年开始为上海市电力公司供应商，服务至今，在圈内拥有良好的口碑。</w:t>
      </w:r>
    </w:p>
    <w:p w14:paraId="2042C1F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本公司拥有雄厚的专业技术力量和经验丰富的技术工人，有先进的现代化生产设备，有完善的质量管理体系ISO9001-2015证书、环境管理体系ISO 14001:2015、职业健康安全管理体系ISO 45001:2018和完备检测手段，具有较高的成套电气设备生产能力。</w:t>
      </w:r>
    </w:p>
    <w:p w14:paraId="513D8F5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企业主要产品有：高、低压开关柜，电能计量箱（柜）、玻璃钢电表箱，住户配电箱，控制箱（柜）等。企业的主要 产品均按行业规定通过国家级试验型式试验，获得型试验报告及型号证书，并经过专家鉴定。主要产品均 按国家规定具有“3C”证书。企业重视质量管理，组织有效的质量管理网络。多年来企业本着科技创新、 管理严细、质量上乘、用户至上的理念，积极开拓市场，市场覆盖率及用户口碑逐年提升，得到客户的一 致好评。</w:t>
      </w:r>
    </w:p>
    <w:p w14:paraId="50FB04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highlight w:val="none"/>
          <w:lang w:val="en-US" w:eastAsia="zh-CN"/>
        </w:rPr>
        <w:t>上海智金本着优质服务、用户至上的宗旨，竭诚为广大用户服务。</w:t>
      </w:r>
    </w:p>
    <w:p w14:paraId="372AC478">
      <w:pPr>
        <w:autoSpaceDE w:val="0"/>
        <w:autoSpaceDN w:val="0"/>
        <w:adjustRightInd w:val="0"/>
        <w:spacing w:line="240" w:lineRule="atLeast"/>
        <w:ind w:firstLine="420" w:firstLineChars="200"/>
        <w:jc w:val="left"/>
        <w:rPr>
          <w:rFonts w:ascii="Times New Roman" w:hAnsi="Times New Roman" w:eastAsiaTheme="majorEastAsia"/>
          <w:szCs w:val="21"/>
          <w:highlight w:val="none"/>
        </w:rPr>
      </w:pPr>
    </w:p>
    <w:p w14:paraId="10B64636">
      <w:pPr>
        <w:outlineLvl w:val="0"/>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●企业社会责任战略</w:t>
      </w:r>
    </w:p>
    <w:p w14:paraId="67B819BB">
      <w:pPr>
        <w:ind w:firstLine="420" w:firstLineChars="200"/>
        <w:rPr>
          <w:rFonts w:ascii="Times New Roman" w:hAnsi="Times New Roman"/>
          <w:highlight w:val="none"/>
        </w:rPr>
      </w:pPr>
    </w:p>
    <w:p w14:paraId="03C9DF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hint="eastAsia" w:ascii="Times New Roman" w:hAnsi="Times New Roman"/>
          <w:highlight w:val="none"/>
          <w:lang w:val="en-US" w:eastAsia="zh-CN"/>
        </w:rPr>
        <w:t>上海智金电器</w:t>
      </w:r>
      <w:r>
        <w:rPr>
          <w:rFonts w:ascii="Times New Roman" w:hAnsi="Times New Roman"/>
          <w:highlight w:val="none"/>
        </w:rPr>
        <w:t>的企业社会责任理念与企业文化一脉相承，以培育可持续竞争优势为核心目标，通过回应社会期望与利益相关方诉求，将社会责任理念贯穿于企业战略制定与日常经营‌</w:t>
      </w:r>
      <w:r>
        <w:rPr>
          <w:rFonts w:hint="eastAsia" w:ascii="Times New Roman" w:hAnsi="Times New Roman"/>
          <w:highlight w:val="none"/>
          <w:lang w:eastAsia="zh-CN"/>
        </w:rPr>
        <w:t>，</w:t>
      </w:r>
      <w:r>
        <w:rPr>
          <w:rFonts w:ascii="Times New Roman" w:hAnsi="Times New Roman"/>
          <w:highlight w:val="none"/>
        </w:rPr>
        <w:t>强调通过解决社会问题获取竞争优势，通过投资于资源节约、社区共建等领域的长期项目，实现经济、环境、社会效益的平衡‌</w:t>
      </w:r>
      <w:r>
        <w:rPr>
          <w:rFonts w:hint="eastAsia" w:ascii="Times New Roman" w:hAnsi="Times New Roman"/>
          <w:highlight w:val="none"/>
          <w:lang w:eastAsia="zh-CN"/>
        </w:rPr>
        <w:t>，</w:t>
      </w:r>
      <w:r>
        <w:rPr>
          <w:rFonts w:hint="eastAsia" w:ascii="Times New Roman" w:hAnsi="Times New Roman"/>
          <w:highlight w:val="none"/>
          <w:lang w:val="en-US" w:eastAsia="zh-CN"/>
        </w:rPr>
        <w:t>上海智金电器</w:t>
      </w:r>
      <w:r>
        <w:rPr>
          <w:rFonts w:ascii="Times New Roman" w:hAnsi="Times New Roman"/>
          <w:highlight w:val="none"/>
        </w:rPr>
        <w:t>倾注资源，与上下游产业链企业一道，在推动企业可持续发展的同时，致力促进产业升级和进步，同时以切实的行动保护环境，为生态中国和美丽中国贡献一份力量，努力实践“</w:t>
      </w:r>
      <w:r>
        <w:rPr>
          <w:rFonts w:hint="eastAsia" w:ascii="Times New Roman" w:hAnsi="Times New Roman"/>
          <w:highlight w:val="none"/>
        </w:rPr>
        <w:t>成为一个专业，并受人尊重的</w:t>
      </w:r>
      <w:r>
        <w:rPr>
          <w:rFonts w:ascii="Times New Roman" w:hAnsi="Times New Roman"/>
          <w:highlight w:val="none"/>
        </w:rPr>
        <w:t>企业”的庄重承诺。</w:t>
      </w:r>
    </w:p>
    <w:p w14:paraId="469D9AB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highlight w:val="none"/>
        </w:rPr>
      </w:pPr>
    </w:p>
    <w:p w14:paraId="2184DB0B">
      <w:pPr>
        <w:outlineLvl w:val="0"/>
        <w:rPr>
          <w:rFonts w:ascii="Times New Roman" w:hAnsi="Times New Roman"/>
          <w:b/>
          <w:sz w:val="32"/>
          <w:szCs w:val="32"/>
          <w:highlight w:val="none"/>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●公司治理与企业社会责任管理</w:t>
      </w:r>
    </w:p>
    <w:p w14:paraId="6E09275B">
      <w:pPr>
        <w:keepNext w:val="0"/>
        <w:keepLines w:val="0"/>
        <w:pageBreakBefore w:val="0"/>
        <w:widowControl w:val="0"/>
        <w:kinsoku/>
        <w:wordWrap/>
        <w:overflowPunct/>
        <w:topLinePunct w:val="0"/>
        <w:autoSpaceDE/>
        <w:autoSpaceDN/>
        <w:bidi w:val="0"/>
        <w:adjustRightInd/>
        <w:snapToGrid/>
        <w:spacing w:before="157" w:beforeLines="50" w:line="360" w:lineRule="auto"/>
        <w:textAlignment w:val="auto"/>
        <w:rPr>
          <w:rFonts w:ascii="Times New Roman" w:hAnsi="Times New Roman"/>
          <w:b/>
          <w:sz w:val="24"/>
          <w:szCs w:val="24"/>
          <w:highlight w:val="none"/>
        </w:rPr>
      </w:pPr>
      <w:r>
        <w:rPr>
          <w:rFonts w:hint="eastAsia" w:ascii="宋体" w:hAnsi="宋体" w:cs="宋体"/>
          <w:b/>
          <w:sz w:val="24"/>
          <w:szCs w:val="24"/>
          <w:highlight w:val="none"/>
        </w:rPr>
        <w:t>◎</w:t>
      </w:r>
      <w:r>
        <w:rPr>
          <w:rFonts w:ascii="Times New Roman" w:hAnsi="Times New Roman"/>
          <w:b/>
          <w:sz w:val="24"/>
          <w:szCs w:val="24"/>
          <w:highlight w:val="none"/>
        </w:rPr>
        <w:t>完善公司治理</w:t>
      </w:r>
    </w:p>
    <w:p w14:paraId="2175E9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szCs w:val="21"/>
          <w:highlight w:val="none"/>
        </w:rPr>
      </w:pPr>
      <w:bookmarkStart w:id="0" w:name="OLE_LINK2"/>
      <w:bookmarkStart w:id="1" w:name="OLE_LINK1"/>
      <w:r>
        <w:rPr>
          <w:rFonts w:hint="eastAsia" w:ascii="宋体" w:hAnsi="宋体" w:cs="宋体"/>
          <w:b/>
          <w:szCs w:val="21"/>
          <w:highlight w:val="none"/>
        </w:rPr>
        <w:t>◆</w:t>
      </w:r>
      <w:r>
        <w:rPr>
          <w:rFonts w:ascii="Times New Roman" w:hAnsi="Times New Roman"/>
          <w:b/>
          <w:szCs w:val="21"/>
          <w:highlight w:val="none"/>
        </w:rPr>
        <w:t>决策制度</w:t>
      </w:r>
      <w:bookmarkEnd w:id="0"/>
      <w:bookmarkEnd w:id="1"/>
    </w:p>
    <w:p w14:paraId="7081CE23">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hint="default" w:ascii="Times New Roman" w:hAnsi="Times New Roman" w:eastAsia="宋体"/>
          <w:i w:val="0"/>
          <w:iCs w:val="0"/>
          <w:color w:val="auto"/>
          <w:szCs w:val="21"/>
          <w:highlight w:val="none"/>
          <w:lang w:val="en-US" w:eastAsia="zh-CN"/>
        </w:rPr>
      </w:pPr>
      <w:r>
        <w:rPr>
          <w:rFonts w:hint="eastAsia" w:ascii="Times New Roman" w:hAnsi="Times New Roman"/>
          <w:i w:val="0"/>
          <w:iCs w:val="0"/>
          <w:color w:val="auto"/>
          <w:szCs w:val="21"/>
          <w:highlight w:val="none"/>
          <w:lang w:val="en-US" w:eastAsia="zh-CN"/>
        </w:rPr>
        <w:t>为更加符合智金的可持续发展需要，我们按照相关法律、法规的要求，设立了符合公司业务规模及经营管理需要的组织机构，搭建覆盖治理层、管理层、执行层三层级管理架构，</w:t>
      </w:r>
      <w:r>
        <w:rPr>
          <w:rFonts w:hint="eastAsia" w:ascii="Times New Roman" w:hAnsi="Times New Roman"/>
          <w:i w:val="0"/>
          <w:iCs w:val="0"/>
          <w:color w:val="auto"/>
          <w:szCs w:val="21"/>
          <w:highlight w:val="none"/>
        </w:rPr>
        <w:t>合理设置部门和岗位，科学地划分了每个组织单位内部的责任权限，确保控制措施的有效执行。</w:t>
      </w:r>
    </w:p>
    <w:p w14:paraId="7639B26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szCs w:val="21"/>
          <w:highlight w:val="none"/>
        </w:rPr>
      </w:pPr>
      <w:r>
        <w:rPr>
          <w:rFonts w:hint="eastAsia" w:ascii="宋体" w:hAnsi="宋体" w:cs="宋体"/>
          <w:b/>
          <w:szCs w:val="21"/>
          <w:highlight w:val="none"/>
        </w:rPr>
        <w:t>◆</w:t>
      </w:r>
      <w:r>
        <w:rPr>
          <w:rFonts w:ascii="Times New Roman" w:hAnsi="Times New Roman"/>
          <w:b/>
          <w:szCs w:val="21"/>
          <w:highlight w:val="none"/>
        </w:rPr>
        <w:t>信息披露</w:t>
      </w:r>
    </w:p>
    <w:p w14:paraId="5D65EA8D">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szCs w:val="21"/>
          <w:highlight w:val="none"/>
        </w:rPr>
      </w:pPr>
      <w:r>
        <w:rPr>
          <w:rFonts w:ascii="Times New Roman" w:hAnsi="Times New Roman"/>
          <w:szCs w:val="21"/>
          <w:highlight w:val="none"/>
        </w:rPr>
        <w:t>公司严格</w:t>
      </w:r>
      <w:r>
        <w:rPr>
          <w:rFonts w:hint="eastAsia" w:ascii="Times New Roman" w:hAnsi="Times New Roman"/>
          <w:szCs w:val="21"/>
          <w:highlight w:val="none"/>
        </w:rPr>
        <w:t>按照</w:t>
      </w:r>
      <w:r>
        <w:rPr>
          <w:rFonts w:ascii="Times New Roman" w:hAnsi="Times New Roman"/>
          <w:szCs w:val="21"/>
          <w:highlight w:val="none"/>
        </w:rPr>
        <w:t>关法律、法规、规范性文件，真实、准确、完整地进行信息披露，保证投资者的合法权益，确保投资者及时、公平地获知公司信息，切实提高公司的透明度和治理水平。公司建立了完善的信息披露管理制度，并保证制度的实施和违反制度的监督、纠正机制，以及制度的更新机制。</w:t>
      </w:r>
    </w:p>
    <w:p w14:paraId="0D2A3402">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szCs w:val="21"/>
          <w:highlight w:val="none"/>
        </w:rPr>
      </w:pPr>
      <w:r>
        <w:rPr>
          <w:rFonts w:ascii="Times New Roman" w:hAnsi="Times New Roman"/>
          <w:szCs w:val="21"/>
          <w:highlight w:val="none"/>
        </w:rPr>
        <w:t>公司将信息披露公告文稿和相关备查文件置备于公司场所，以方便提供给社会公众查阅。</w:t>
      </w:r>
    </w:p>
    <w:p w14:paraId="05986AB9">
      <w:pPr>
        <w:keepNext w:val="0"/>
        <w:keepLines w:val="0"/>
        <w:pageBreakBefore w:val="0"/>
        <w:widowControl w:val="0"/>
        <w:kinsoku/>
        <w:wordWrap/>
        <w:overflowPunct/>
        <w:topLinePunct w:val="0"/>
        <w:autoSpaceDE/>
        <w:autoSpaceDN/>
        <w:bidi w:val="0"/>
        <w:adjustRightInd/>
        <w:snapToGrid/>
        <w:spacing w:line="360" w:lineRule="auto"/>
        <w:ind w:firstLine="420"/>
        <w:textAlignment w:val="auto"/>
        <w:rPr>
          <w:rFonts w:ascii="Times New Roman" w:hAnsi="Times New Roman"/>
          <w:szCs w:val="21"/>
          <w:highlight w:val="none"/>
        </w:rPr>
      </w:pPr>
      <w:r>
        <w:rPr>
          <w:rFonts w:ascii="Times New Roman" w:hAnsi="Times New Roman"/>
          <w:szCs w:val="21"/>
          <w:highlight w:val="none"/>
        </w:rPr>
        <w:t>公司建立信息保密制度，防止信息公开披露之前向第三人披露，内幕交易行为给投资者造成损失的，行为人依法承担赔偿责任。</w:t>
      </w:r>
    </w:p>
    <w:p w14:paraId="334DCE0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szCs w:val="21"/>
          <w:highlight w:val="none"/>
        </w:rPr>
      </w:pPr>
      <w:r>
        <w:rPr>
          <w:rFonts w:hint="eastAsia" w:ascii="宋体" w:hAnsi="宋体" w:cs="宋体"/>
          <w:b/>
          <w:szCs w:val="21"/>
          <w:highlight w:val="none"/>
        </w:rPr>
        <w:t>◆</w:t>
      </w:r>
      <w:r>
        <w:rPr>
          <w:rFonts w:ascii="Times New Roman" w:hAnsi="Times New Roman"/>
          <w:b/>
          <w:szCs w:val="21"/>
          <w:highlight w:val="none"/>
        </w:rPr>
        <w:t>投资者关系管理</w:t>
      </w:r>
    </w:p>
    <w:p w14:paraId="5C2586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Cs w:val="21"/>
          <w:highlight w:val="none"/>
        </w:rPr>
      </w:pPr>
      <w:r>
        <w:rPr>
          <w:rFonts w:ascii="Times New Roman" w:hAnsi="Times New Roman"/>
          <w:szCs w:val="21"/>
          <w:highlight w:val="none"/>
        </w:rPr>
        <w:t>公司一直注重投资者关系管理，</w:t>
      </w:r>
      <w:r>
        <w:rPr>
          <w:rFonts w:hint="eastAsia" w:ascii="Times New Roman" w:hAnsi="Times New Roman"/>
          <w:szCs w:val="21"/>
          <w:highlight w:val="none"/>
        </w:rPr>
        <w:t>总经办</w:t>
      </w:r>
      <w:r>
        <w:rPr>
          <w:rFonts w:ascii="Times New Roman" w:hAnsi="Times New Roman"/>
          <w:szCs w:val="21"/>
          <w:highlight w:val="none"/>
        </w:rPr>
        <w:t>负责投资者关系的日常管理工作，通过电话沟通、接待投资者调研、网络互动平台、网上业绩说明会等形式，加强与投资者的沟通与联系。公司对广大投资者关心的问题进行了解和及时答复。公司关注投资者的意见与反馈信息，并将信息收集整理后传达给公司决策层，并注意投资者利益的保护。公司高级管理人员积极参与各种投资者关系的活动。</w:t>
      </w:r>
    </w:p>
    <w:p w14:paraId="75FC11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Cs w:val="21"/>
          <w:highlight w:val="none"/>
        </w:rPr>
      </w:pPr>
      <w:r>
        <w:rPr>
          <w:rFonts w:ascii="Times New Roman" w:hAnsi="Times New Roman"/>
          <w:szCs w:val="21"/>
          <w:highlight w:val="none"/>
        </w:rPr>
        <w:t>为了加强与投资者的沟通和互动，公司制订了投资者关系</w:t>
      </w:r>
      <w:r>
        <w:rPr>
          <w:rFonts w:hint="eastAsia" w:ascii="Times New Roman" w:hAnsi="Times New Roman"/>
          <w:szCs w:val="21"/>
          <w:highlight w:val="none"/>
          <w:lang w:val="en-US" w:eastAsia="zh-CN"/>
        </w:rPr>
        <w:t>的</w:t>
      </w:r>
      <w:r>
        <w:rPr>
          <w:rFonts w:ascii="Times New Roman" w:hAnsi="Times New Roman"/>
          <w:szCs w:val="21"/>
          <w:highlight w:val="none"/>
        </w:rPr>
        <w:t>管理办法，规范公司与投资者联络沟通工作，对投资者所提供的资料和沟通的问题都基于公平、公开原则。</w:t>
      </w:r>
    </w:p>
    <w:p w14:paraId="54C654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szCs w:val="21"/>
          <w:highlight w:val="none"/>
        </w:rPr>
      </w:pPr>
      <w:r>
        <w:rPr>
          <w:rFonts w:ascii="Times New Roman" w:hAnsi="Times New Roman"/>
          <w:szCs w:val="21"/>
          <w:highlight w:val="none"/>
        </w:rPr>
        <w:t>公司把投资者关系管理作为一项长期、持续的工作来开展，不断学习、借鉴先进的投资者关系管理经验，以更好的方式和更通畅的途径使投资者能够及时、平等地获取公司经营管理、未来发展等信息，力求维护与投资者密切的互动关系，树立公司良好的资本市场形象。</w:t>
      </w:r>
    </w:p>
    <w:p w14:paraId="0D28CC51">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b/>
          <w:sz w:val="24"/>
          <w:szCs w:val="24"/>
          <w:highlight w:val="none"/>
        </w:rPr>
      </w:pPr>
      <w:r>
        <w:rPr>
          <w:rFonts w:hint="eastAsia" w:ascii="宋体" w:hAnsi="宋体" w:cs="宋体"/>
          <w:b/>
          <w:sz w:val="24"/>
          <w:szCs w:val="24"/>
          <w:highlight w:val="none"/>
        </w:rPr>
        <w:t>◎</w:t>
      </w:r>
      <w:r>
        <w:rPr>
          <w:rFonts w:ascii="Times New Roman" w:hAnsi="Times New Roman"/>
          <w:b/>
          <w:sz w:val="24"/>
          <w:szCs w:val="24"/>
          <w:highlight w:val="none"/>
        </w:rPr>
        <w:t>企业社会责任管理</w:t>
      </w:r>
    </w:p>
    <w:p w14:paraId="0238C78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ascii="Times New Roman" w:hAnsi="Times New Roman" w:eastAsia="宋体"/>
          <w:b/>
          <w:szCs w:val="21"/>
          <w:highlight w:val="none"/>
          <w:lang w:val="en-US" w:eastAsia="zh-CN"/>
        </w:rPr>
      </w:pPr>
      <w:r>
        <w:rPr>
          <w:rFonts w:hint="eastAsia" w:ascii="宋体" w:hAnsi="宋体" w:cs="宋体"/>
          <w:b/>
          <w:szCs w:val="21"/>
          <w:highlight w:val="none"/>
        </w:rPr>
        <w:t>◆</w:t>
      </w:r>
      <w:r>
        <w:rPr>
          <w:rFonts w:hint="eastAsia" w:ascii="Times New Roman" w:hAnsi="Times New Roman"/>
          <w:b/>
          <w:szCs w:val="21"/>
          <w:highlight w:val="none"/>
          <w:lang w:val="en-US" w:eastAsia="zh-CN"/>
        </w:rPr>
        <w:t>规范治理</w:t>
      </w:r>
    </w:p>
    <w:p w14:paraId="4F244D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hint="eastAsia" w:ascii="Times New Roman" w:hAnsi="Times New Roman"/>
          <w:highlight w:val="none"/>
        </w:rPr>
        <w:t>公司构建了全面的社会责任推进机制，成立了</w:t>
      </w:r>
      <w:r>
        <w:rPr>
          <w:rFonts w:hint="eastAsia" w:ascii="Times New Roman" w:hAnsi="Times New Roman"/>
          <w:i w:val="0"/>
          <w:iCs w:val="0"/>
          <w:color w:val="auto"/>
          <w:highlight w:val="none"/>
          <w:lang w:val="en-US" w:eastAsia="zh-CN"/>
        </w:rPr>
        <w:t>智金</w:t>
      </w:r>
      <w:r>
        <w:rPr>
          <w:rFonts w:ascii="Times New Roman" w:hAnsi="Times New Roman"/>
          <w:i w:val="0"/>
          <w:iCs w:val="0"/>
          <w:color w:val="auto"/>
          <w:highlight w:val="none"/>
        </w:rPr>
        <w:t>社会</w:t>
      </w:r>
      <w:r>
        <w:rPr>
          <w:rFonts w:ascii="Times New Roman" w:hAnsi="Times New Roman"/>
          <w:highlight w:val="none"/>
        </w:rPr>
        <w:t>责任委员会</w:t>
      </w:r>
      <w:r>
        <w:rPr>
          <w:rFonts w:hint="eastAsia" w:ascii="Times New Roman" w:hAnsi="Times New Roman"/>
          <w:highlight w:val="none"/>
        </w:rPr>
        <w:t>，</w:t>
      </w:r>
      <w:r>
        <w:rPr>
          <w:rFonts w:ascii="Times New Roman" w:hAnsi="Times New Roman"/>
          <w:highlight w:val="none"/>
        </w:rPr>
        <w:t>由公司各</w:t>
      </w:r>
      <w:r>
        <w:rPr>
          <w:rFonts w:hint="eastAsia" w:ascii="Times New Roman" w:hAnsi="Times New Roman"/>
          <w:highlight w:val="none"/>
        </w:rPr>
        <w:t>部门</w:t>
      </w:r>
      <w:r>
        <w:rPr>
          <w:rFonts w:ascii="Times New Roman" w:hAnsi="Times New Roman"/>
          <w:highlight w:val="none"/>
        </w:rPr>
        <w:t>相关负责人组成，主要职责包括：负责公司社会责任管理的领导与决策；讨论并批准相关社会责任管理制度与决议；审议公司年度重大事件、改革调整的目标和实施方案等。各小组人员根据社会责任体系建设的要求履行社会责任，不断完善管理体系与程序建设，加强风险管理与控制，确保绩效目标的实现；同时，将社会责任目标、指标完成情况与各部门及其管理者的考核挂钩。</w:t>
      </w:r>
    </w:p>
    <w:p w14:paraId="151817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hint="eastAsia" w:ascii="Times New Roman" w:hAnsi="Times New Roman"/>
          <w:color w:val="auto"/>
          <w:highlight w:val="none"/>
          <w:lang w:eastAsia="zh-CN"/>
        </w:rPr>
        <w:t>202</w:t>
      </w:r>
      <w:r>
        <w:rPr>
          <w:rFonts w:hint="eastAsia" w:ascii="Times New Roman" w:hAnsi="Times New Roman"/>
          <w:color w:val="auto"/>
          <w:highlight w:val="none"/>
          <w:lang w:val="en-US" w:eastAsia="zh-CN"/>
        </w:rPr>
        <w:t>4</w:t>
      </w:r>
      <w:r>
        <w:rPr>
          <w:rFonts w:ascii="Times New Roman" w:hAnsi="Times New Roman"/>
          <w:color w:val="auto"/>
          <w:highlight w:val="none"/>
        </w:rPr>
        <w:t>年，</w:t>
      </w:r>
      <w:r>
        <w:rPr>
          <w:rFonts w:hint="eastAsia" w:ascii="Times New Roman" w:hAnsi="Times New Roman"/>
          <w:color w:val="auto"/>
          <w:highlight w:val="none"/>
          <w:lang w:val="en-US" w:eastAsia="zh-CN"/>
        </w:rPr>
        <w:t>智金</w:t>
      </w:r>
      <w:r>
        <w:rPr>
          <w:rFonts w:ascii="Times New Roman" w:hAnsi="Times New Roman"/>
          <w:color w:val="auto"/>
          <w:highlight w:val="none"/>
        </w:rPr>
        <w:t>社会责任</w:t>
      </w:r>
      <w:r>
        <w:rPr>
          <w:rFonts w:ascii="Times New Roman" w:hAnsi="Times New Roman"/>
          <w:highlight w:val="none"/>
        </w:rPr>
        <w:t>委员会认真和良好履行了监督和推进的责任，进一步完善了公司社会责任工作体系，包括策略管理、执行管理、绩效管理和沟通管理四大部分，使之成为环环相扣、不可或缺的有机组成部分。</w:t>
      </w:r>
    </w:p>
    <w:p w14:paraId="1E6D3E1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szCs w:val="21"/>
          <w:highlight w:val="none"/>
        </w:rPr>
      </w:pPr>
      <w:r>
        <w:rPr>
          <w:rFonts w:hint="eastAsia" w:ascii="宋体" w:hAnsi="宋体" w:cs="宋体"/>
          <w:b/>
          <w:szCs w:val="21"/>
          <w:highlight w:val="none"/>
        </w:rPr>
        <w:t>◆</w:t>
      </w:r>
      <w:r>
        <w:rPr>
          <w:rFonts w:ascii="Times New Roman" w:hAnsi="Times New Roman"/>
          <w:b/>
          <w:szCs w:val="21"/>
          <w:highlight w:val="none"/>
        </w:rPr>
        <w:t>社会责任行为准则</w:t>
      </w:r>
    </w:p>
    <w:p w14:paraId="6E045FEF">
      <w:pPr>
        <w:keepNext w:val="0"/>
        <w:keepLines w:val="0"/>
        <w:pageBreakBefore w:val="0"/>
        <w:widowControl w:val="0"/>
        <w:kinsoku/>
        <w:wordWrap/>
        <w:overflowPunct/>
        <w:topLinePunct w:val="0"/>
        <w:autoSpaceDE/>
        <w:autoSpaceDN/>
        <w:bidi w:val="0"/>
        <w:adjustRightInd/>
        <w:snapToGrid/>
        <w:spacing w:line="360" w:lineRule="auto"/>
        <w:ind w:firstLine="315" w:firstLineChars="150"/>
        <w:textAlignment w:val="auto"/>
        <w:rPr>
          <w:rFonts w:ascii="Times New Roman" w:hAnsi="Times New Roman"/>
          <w:color w:val="auto"/>
          <w:highlight w:val="none"/>
        </w:rPr>
      </w:pPr>
      <w:r>
        <w:rPr>
          <w:rFonts w:hint="eastAsia" w:ascii="Times New Roman" w:hAnsi="Times New Roman"/>
          <w:highlight w:val="none"/>
          <w:lang w:val="en-US" w:eastAsia="zh-CN"/>
        </w:rPr>
        <w:t>上海智金电器的社会责任行为准则是企业为履行对利益相关方的责任而制定的系统性规范，强调在经营活动中平衡经济效益与社会价值，并推动可持续发展，其核心目标是通过合规运营、道德实践和长期投入，实现企业与社会共同进步</w:t>
      </w:r>
      <w:r>
        <w:rPr>
          <w:rFonts w:ascii="Times New Roman" w:hAnsi="Times New Roman"/>
          <w:color w:val="auto"/>
          <w:highlight w:val="none"/>
        </w:rPr>
        <w:t>‌‌。</w:t>
      </w:r>
      <w:r>
        <w:rPr>
          <w:rFonts w:hint="eastAsia" w:ascii="Times New Roman" w:hAnsi="Times New Roman"/>
          <w:color w:val="auto"/>
          <w:highlight w:val="none"/>
          <w:lang w:val="en-US" w:eastAsia="zh-CN"/>
        </w:rPr>
        <w:t>企业</w:t>
      </w:r>
      <w:r>
        <w:rPr>
          <w:rFonts w:hint="eastAsia" w:ascii="Times New Roman" w:hAnsi="Times New Roman"/>
          <w:color w:val="auto"/>
          <w:highlight w:val="none"/>
        </w:rPr>
        <w:t>实施并持续改进以下各项要素中的目标要求。</w:t>
      </w:r>
    </w:p>
    <w:p w14:paraId="29C51A3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highlight w:val="none"/>
        </w:rPr>
      </w:pPr>
      <w:r>
        <w:rPr>
          <w:rFonts w:ascii="Times New Roman" w:hAnsi="Times New Roman"/>
          <w:b/>
          <w:highlight w:val="none"/>
        </w:rPr>
        <w:t>劳动合同：</w:t>
      </w:r>
      <w:r>
        <w:rPr>
          <w:rFonts w:ascii="Times New Roman" w:hAnsi="Times New Roman"/>
          <w:highlight w:val="none"/>
        </w:rPr>
        <w:t>招用员工时依法签订书面劳动合同，具备符合法律规定的条款。</w:t>
      </w:r>
    </w:p>
    <w:p w14:paraId="1353E98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highlight w:val="none"/>
        </w:rPr>
      </w:pPr>
      <w:r>
        <w:rPr>
          <w:rFonts w:ascii="Times New Roman" w:hAnsi="Times New Roman"/>
          <w:b/>
          <w:highlight w:val="none"/>
        </w:rPr>
        <w:t>童工：</w:t>
      </w:r>
      <w:r>
        <w:rPr>
          <w:rFonts w:ascii="Times New Roman" w:hAnsi="Times New Roman"/>
          <w:highlight w:val="none"/>
        </w:rPr>
        <w:t>严格杜绝招用童工，招用未成年工人必须符合法律、法规的要求。</w:t>
      </w:r>
    </w:p>
    <w:p w14:paraId="480D3E6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highlight w:val="none"/>
        </w:rPr>
      </w:pPr>
      <w:r>
        <w:rPr>
          <w:rFonts w:ascii="Times New Roman" w:hAnsi="Times New Roman"/>
          <w:b/>
          <w:highlight w:val="none"/>
        </w:rPr>
        <w:t>劳动方式：</w:t>
      </w:r>
      <w:r>
        <w:rPr>
          <w:rFonts w:ascii="Times New Roman" w:hAnsi="Times New Roman"/>
          <w:highlight w:val="none"/>
        </w:rPr>
        <w:t>严格杜绝使用或支持使用强迫或强制劳动。</w:t>
      </w:r>
    </w:p>
    <w:p w14:paraId="5B12E34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highlight w:val="none"/>
        </w:rPr>
      </w:pPr>
      <w:r>
        <w:rPr>
          <w:rFonts w:ascii="Times New Roman" w:hAnsi="Times New Roman"/>
          <w:b/>
          <w:highlight w:val="none"/>
        </w:rPr>
        <w:t>工作时间：</w:t>
      </w:r>
      <w:r>
        <w:rPr>
          <w:rFonts w:ascii="Times New Roman" w:hAnsi="Times New Roman"/>
          <w:highlight w:val="none"/>
        </w:rPr>
        <w:t>遵守国家法律、法规关于工作时间的要求。</w:t>
      </w:r>
    </w:p>
    <w:p w14:paraId="12725EE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highlight w:val="none"/>
        </w:rPr>
      </w:pPr>
      <w:r>
        <w:rPr>
          <w:rFonts w:ascii="Times New Roman" w:hAnsi="Times New Roman"/>
          <w:b/>
          <w:highlight w:val="none"/>
        </w:rPr>
        <w:t>薪酬与福利：</w:t>
      </w:r>
      <w:r>
        <w:rPr>
          <w:rFonts w:ascii="Times New Roman" w:hAnsi="Times New Roman"/>
          <w:highlight w:val="none"/>
        </w:rPr>
        <w:t>保证向员工支付的工资、福利待遇不低于法律、法规的要求，并且以货币形式及时支付。</w:t>
      </w:r>
    </w:p>
    <w:p w14:paraId="20B47F8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highlight w:val="none"/>
        </w:rPr>
      </w:pPr>
      <w:r>
        <w:rPr>
          <w:rFonts w:ascii="Times New Roman" w:hAnsi="Times New Roman"/>
          <w:b/>
          <w:highlight w:val="none"/>
        </w:rPr>
        <w:t>工会组织和集体谈判权：</w:t>
      </w:r>
      <w:r>
        <w:rPr>
          <w:rFonts w:ascii="Times New Roman" w:hAnsi="Times New Roman"/>
          <w:highlight w:val="none"/>
        </w:rPr>
        <w:t>承认并尊重员工组织和参加工会，以及进行集体谈判的权利。</w:t>
      </w:r>
    </w:p>
    <w:p w14:paraId="2DADFD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highlight w:val="none"/>
        </w:rPr>
      </w:pPr>
      <w:r>
        <w:rPr>
          <w:rFonts w:ascii="Times New Roman" w:hAnsi="Times New Roman"/>
          <w:b/>
          <w:highlight w:val="none"/>
        </w:rPr>
        <w:t>歧视：</w:t>
      </w:r>
      <w:r>
        <w:rPr>
          <w:rFonts w:ascii="Times New Roman" w:hAnsi="Times New Roman"/>
          <w:highlight w:val="none"/>
        </w:rPr>
        <w:t>严格杜绝因民族、种族、宗教信仰、残疾、个人特性等原因使员工受到各类歧视。</w:t>
      </w:r>
    </w:p>
    <w:p w14:paraId="5B6B7B5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highlight w:val="none"/>
        </w:rPr>
      </w:pPr>
      <w:r>
        <w:rPr>
          <w:rFonts w:ascii="Times New Roman" w:hAnsi="Times New Roman"/>
          <w:b/>
          <w:highlight w:val="none"/>
        </w:rPr>
        <w:t>骚扰与虐待：</w:t>
      </w:r>
      <w:r>
        <w:rPr>
          <w:rFonts w:ascii="Times New Roman" w:hAnsi="Times New Roman"/>
          <w:highlight w:val="none"/>
        </w:rPr>
        <w:t>公司保障每位员工的身体与精神健康，禁止骚扰、虐待与体罚行为。</w:t>
      </w:r>
    </w:p>
    <w:p w14:paraId="3699EC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highlight w:val="none"/>
        </w:rPr>
      </w:pPr>
      <w:r>
        <w:rPr>
          <w:rFonts w:ascii="Times New Roman" w:hAnsi="Times New Roman"/>
          <w:b/>
          <w:highlight w:val="none"/>
        </w:rPr>
        <w:t>职业健康与安全：</w:t>
      </w:r>
      <w:r>
        <w:rPr>
          <w:rFonts w:hint="eastAsia" w:ascii="Times New Roman" w:hAnsi="Times New Roman"/>
          <w:bCs/>
          <w:highlight w:val="none"/>
        </w:rPr>
        <w:t>建立职业健康与安全管理体系，持续有效地推进职业健康与安全的改善活动，形成文件，付诸实施并保持；</w:t>
      </w:r>
      <w:r>
        <w:rPr>
          <w:rFonts w:ascii="Times New Roman" w:hAnsi="Times New Roman"/>
          <w:highlight w:val="none"/>
        </w:rPr>
        <w:t>为员工提供健康、安全的工作环境，遵守国家法律、法规中有关职业健康与安全的规定</w:t>
      </w:r>
      <w:r>
        <w:rPr>
          <w:rFonts w:hint="eastAsia" w:ascii="Times New Roman" w:hAnsi="Times New Roman"/>
          <w:highlight w:val="none"/>
        </w:rPr>
        <w:t>；投入必要的资源，不断改善员工的劳动条件，努力预防职业危害与安全事故；教育和培训员工，提高其健康安全意识，增强自我保护能力；开展活动，增强员工体质和心理健康。</w:t>
      </w:r>
    </w:p>
    <w:p w14:paraId="476C7C4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szCs w:val="21"/>
          <w:highlight w:val="none"/>
        </w:rPr>
      </w:pPr>
      <w:r>
        <w:rPr>
          <w:rFonts w:hint="eastAsia" w:ascii="宋体" w:hAnsi="宋体" w:cs="宋体"/>
          <w:b/>
          <w:szCs w:val="21"/>
          <w:highlight w:val="none"/>
        </w:rPr>
        <w:t>◆</w:t>
      </w:r>
      <w:r>
        <w:rPr>
          <w:rFonts w:ascii="Times New Roman" w:hAnsi="Times New Roman"/>
          <w:b/>
          <w:szCs w:val="21"/>
          <w:highlight w:val="none"/>
        </w:rPr>
        <w:t xml:space="preserve">社会责任风险管理 </w:t>
      </w:r>
    </w:p>
    <w:p w14:paraId="502F5C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i w:val="0"/>
          <w:iCs w:val="0"/>
          <w:color w:val="auto"/>
          <w:highlight w:val="none"/>
        </w:rPr>
      </w:pPr>
      <w:r>
        <w:rPr>
          <w:rFonts w:hint="eastAsia" w:ascii="Times New Roman" w:hAnsi="Times New Roman"/>
          <w:highlight w:val="none"/>
        </w:rPr>
        <w:t>公司</w:t>
      </w:r>
      <w:r>
        <w:rPr>
          <w:rFonts w:ascii="Times New Roman" w:hAnsi="Times New Roman"/>
          <w:highlight w:val="none"/>
        </w:rPr>
        <w:t>进一步细化和完善公司相关制度，在依法签订合同、遵守国家法律法规的关于工作时间的要求、职工薪酬与福利、杜绝招用童工、避免强迫或强制劳动、避免工作中的歧视、有效预防骚扰与虐待、职业健康与安全管理、女性员工的特殊劳动保护等方面得到强化，采取切实措施，全面推进公司全面关爱员工计划，从关爱广大员工身体健康和个人职业生涯成长发展方面入手，特别是针对工厂女性员工多的实际情况，制定多项管理规定，保护女工的各项权益。与此</w:t>
      </w:r>
      <w:r>
        <w:rPr>
          <w:rFonts w:ascii="Times New Roman" w:hAnsi="Times New Roman"/>
          <w:i w:val="0"/>
          <w:iCs w:val="0"/>
          <w:color w:val="auto"/>
          <w:highlight w:val="none"/>
        </w:rPr>
        <w:t>同时，</w:t>
      </w:r>
      <w:r>
        <w:rPr>
          <w:rFonts w:hint="eastAsia" w:ascii="Times New Roman" w:hAnsi="Times New Roman"/>
          <w:i w:val="0"/>
          <w:iCs w:val="0"/>
          <w:color w:val="auto"/>
          <w:highlight w:val="none"/>
          <w:lang w:val="en-US" w:eastAsia="zh-CN"/>
        </w:rPr>
        <w:t>智金</w:t>
      </w:r>
      <w:r>
        <w:rPr>
          <w:rFonts w:ascii="Times New Roman" w:hAnsi="Times New Roman"/>
          <w:i w:val="0"/>
          <w:iCs w:val="0"/>
          <w:color w:val="auto"/>
          <w:highlight w:val="none"/>
        </w:rPr>
        <w:t>还高度重视做好少数民族员工和残疾员工的关爱工作，细化各项管理举措，让少数民族员工和残疾员工在</w:t>
      </w:r>
      <w:r>
        <w:rPr>
          <w:rFonts w:hint="eastAsia" w:ascii="Times New Roman" w:hAnsi="Times New Roman"/>
          <w:i w:val="0"/>
          <w:iCs w:val="0"/>
          <w:color w:val="auto"/>
          <w:highlight w:val="none"/>
          <w:lang w:val="en-US" w:eastAsia="zh-CN"/>
        </w:rPr>
        <w:t>智金</w:t>
      </w:r>
      <w:r>
        <w:rPr>
          <w:rFonts w:ascii="Times New Roman" w:hAnsi="Times New Roman"/>
          <w:i w:val="0"/>
          <w:iCs w:val="0"/>
          <w:color w:val="auto"/>
          <w:highlight w:val="none"/>
        </w:rPr>
        <w:t>得到更好的发展。</w:t>
      </w:r>
    </w:p>
    <w:p w14:paraId="621A6FB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hint="eastAsia" w:ascii="Times New Roman" w:hAnsi="Times New Roman"/>
          <w:i w:val="0"/>
          <w:iCs w:val="0"/>
          <w:color w:val="auto"/>
          <w:highlight w:val="none"/>
          <w:lang w:eastAsia="zh-CN"/>
        </w:rPr>
        <w:t>202</w:t>
      </w:r>
      <w:r>
        <w:rPr>
          <w:rFonts w:hint="eastAsia" w:ascii="Times New Roman" w:hAnsi="Times New Roman"/>
          <w:i w:val="0"/>
          <w:iCs w:val="0"/>
          <w:color w:val="auto"/>
          <w:highlight w:val="none"/>
          <w:lang w:val="en-US" w:eastAsia="zh-CN"/>
        </w:rPr>
        <w:t>3</w:t>
      </w:r>
      <w:r>
        <w:rPr>
          <w:rFonts w:ascii="Times New Roman" w:hAnsi="Times New Roman"/>
          <w:i w:val="0"/>
          <w:iCs w:val="0"/>
          <w:color w:val="auto"/>
          <w:highlight w:val="none"/>
        </w:rPr>
        <w:t>年，公司继续加强生产、消防安全管理，持续性开展消防安全培训，把特种设备人员100%持证上岗作为硬性要求，</w:t>
      </w:r>
      <w:r>
        <w:rPr>
          <w:rFonts w:ascii="Times New Roman" w:hAnsi="Times New Roman"/>
          <w:highlight w:val="none"/>
        </w:rPr>
        <w:t>对特种设备组织定期检测，定期点检各类消防设备器材，保证运行良好，杜绝安全隐患。</w:t>
      </w:r>
    </w:p>
    <w:p w14:paraId="171BEED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Times New Roman" w:hAnsi="Times New Roman"/>
          <w:highlight w:val="none"/>
        </w:rPr>
      </w:pPr>
    </w:p>
    <w:p w14:paraId="56B3B6F6">
      <w:pPr>
        <w:outlineLvl w:val="0"/>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●利益相关方参与</w:t>
      </w:r>
    </w:p>
    <w:p w14:paraId="32A057FD">
      <w:pPr>
        <w:keepNext w:val="0"/>
        <w:keepLines w:val="0"/>
        <w:pageBreakBefore w:val="0"/>
        <w:widowControl w:val="0"/>
        <w:kinsoku/>
        <w:wordWrap/>
        <w:overflowPunct/>
        <w:topLinePunct w:val="0"/>
        <w:autoSpaceDE/>
        <w:autoSpaceDN/>
        <w:bidi w:val="0"/>
        <w:adjustRightInd/>
        <w:snapToGrid/>
        <w:spacing w:beforeLines="50" w:afterLines="50"/>
        <w:textAlignment w:val="auto"/>
        <w:rPr>
          <w:rFonts w:ascii="Times New Roman" w:hAnsi="Times New Roman"/>
          <w:b/>
          <w:sz w:val="24"/>
          <w:szCs w:val="24"/>
          <w:highlight w:val="none"/>
        </w:rPr>
      </w:pPr>
      <w:r>
        <w:rPr>
          <w:rFonts w:hint="eastAsia" w:ascii="宋体" w:hAnsi="宋体" w:cs="宋体"/>
          <w:b/>
          <w:sz w:val="24"/>
          <w:szCs w:val="24"/>
          <w:highlight w:val="none"/>
        </w:rPr>
        <w:t>◎</w:t>
      </w:r>
      <w:r>
        <w:rPr>
          <w:rFonts w:ascii="Times New Roman" w:hAnsi="Times New Roman"/>
          <w:b/>
          <w:sz w:val="24"/>
          <w:szCs w:val="24"/>
          <w:highlight w:val="none"/>
        </w:rPr>
        <w:t>加强与利益相关者沟通</w:t>
      </w:r>
    </w:p>
    <w:p w14:paraId="183DA86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i w:val="0"/>
          <w:iCs w:val="0"/>
          <w:color w:val="auto"/>
          <w:highlight w:val="none"/>
        </w:rPr>
      </w:pPr>
      <w:r>
        <w:rPr>
          <w:rFonts w:hint="eastAsia" w:ascii="Times New Roman" w:hAnsi="Times New Roman"/>
          <w:i w:val="0"/>
          <w:iCs w:val="0"/>
          <w:color w:val="auto"/>
          <w:highlight w:val="none"/>
          <w:lang w:val="en-US" w:eastAsia="zh-CN"/>
        </w:rPr>
        <w:t>智金</w:t>
      </w:r>
      <w:r>
        <w:rPr>
          <w:rFonts w:hint="eastAsia" w:ascii="Times New Roman" w:hAnsi="Times New Roman"/>
          <w:i w:val="0"/>
          <w:iCs w:val="0"/>
          <w:color w:val="auto"/>
          <w:highlight w:val="none"/>
        </w:rPr>
        <w:t>深知各利益相关方的意见对</w:t>
      </w:r>
      <w:r>
        <w:rPr>
          <w:rFonts w:hint="eastAsia" w:ascii="Times New Roman" w:hAnsi="Times New Roman"/>
          <w:i w:val="0"/>
          <w:iCs w:val="0"/>
          <w:color w:val="auto"/>
          <w:highlight w:val="none"/>
          <w:lang w:val="en-US" w:eastAsia="zh-CN"/>
        </w:rPr>
        <w:t>公司发展</w:t>
      </w:r>
      <w:r>
        <w:rPr>
          <w:rFonts w:hint="eastAsia" w:ascii="Times New Roman" w:hAnsi="Times New Roman"/>
          <w:i w:val="0"/>
          <w:iCs w:val="0"/>
          <w:color w:val="auto"/>
          <w:highlight w:val="none"/>
        </w:rPr>
        <w:t>有着重要影响。我们始终关注与倾听内外部利益相关方的诉求，通过多种形式建立沟通渠道，收集并回应各益相关方对隆基的期望与诉求。</w:t>
      </w:r>
      <w:r>
        <w:rPr>
          <w:rFonts w:ascii="Times New Roman" w:hAnsi="Times New Roman"/>
          <w:i w:val="0"/>
          <w:iCs w:val="0"/>
          <w:color w:val="auto"/>
          <w:highlight w:val="none"/>
        </w:rPr>
        <w:t>通过定期与利益相关者沟通，公司逐步建立了利益相关者参与机制，并不断识别出企业社会责任的关键领域与改进内容，从而赢得国内外利益相关者的认可与信赖。</w:t>
      </w:r>
    </w:p>
    <w:p w14:paraId="02F293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i w:val="0"/>
          <w:iCs w:val="0"/>
          <w:color w:val="auto"/>
          <w:highlight w:val="none"/>
        </w:rPr>
      </w:pPr>
      <w:r>
        <w:rPr>
          <w:rFonts w:hint="eastAsia" w:ascii="Times New Roman" w:hAnsi="Times New Roman"/>
          <w:i w:val="0"/>
          <w:iCs w:val="0"/>
          <w:color w:val="auto"/>
          <w:highlight w:val="none"/>
          <w:lang w:eastAsia="zh-CN"/>
        </w:rPr>
        <w:t>智金</w:t>
      </w:r>
      <w:r>
        <w:rPr>
          <w:rFonts w:ascii="Times New Roman" w:hAnsi="Times New Roman"/>
          <w:i w:val="0"/>
          <w:iCs w:val="0"/>
          <w:color w:val="auto"/>
          <w:highlight w:val="none"/>
        </w:rPr>
        <w:t>的利益相关方包括政府、客户、消费者、投资者（股东、债权人）、同业者、公众、价值链伙伴和员工等。维护并满足利益相关者需求，是我们得以长期生存和持续繁荣的重要途径。目前，</w:t>
      </w:r>
      <w:r>
        <w:rPr>
          <w:rFonts w:hint="eastAsia" w:ascii="Times New Roman" w:hAnsi="Times New Roman"/>
          <w:i w:val="0"/>
          <w:iCs w:val="0"/>
          <w:color w:val="auto"/>
          <w:highlight w:val="none"/>
          <w:lang w:eastAsia="zh-CN"/>
        </w:rPr>
        <w:t>智金</w:t>
      </w:r>
      <w:r>
        <w:rPr>
          <w:rFonts w:ascii="Times New Roman" w:hAnsi="Times New Roman"/>
          <w:i w:val="0"/>
          <w:iCs w:val="0"/>
          <w:color w:val="auto"/>
          <w:highlight w:val="none"/>
        </w:rPr>
        <w:t>主要通过定期沟通和专项沟通等形式及时了解各方期望，并对所收集的意见和建议进行及时反馈，从而不断改进各项工作，推动企业、产业和社会的共同发展。</w:t>
      </w:r>
    </w:p>
    <w:p w14:paraId="1DF403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i w:val="0"/>
          <w:iCs w:val="0"/>
          <w:color w:val="auto"/>
          <w:highlight w:val="none"/>
        </w:rPr>
      </w:pPr>
      <w:r>
        <w:rPr>
          <w:rFonts w:hint="eastAsia" w:ascii="Times New Roman" w:hAnsi="Times New Roman"/>
          <w:i w:val="0"/>
          <w:iCs w:val="0"/>
          <w:color w:val="auto"/>
          <w:highlight w:val="none"/>
          <w:lang w:eastAsia="zh-CN"/>
        </w:rPr>
        <w:t>智金</w:t>
      </w:r>
      <w:r>
        <w:rPr>
          <w:rFonts w:ascii="Times New Roman" w:hAnsi="Times New Roman"/>
          <w:i w:val="0"/>
          <w:iCs w:val="0"/>
          <w:color w:val="auto"/>
          <w:highlight w:val="none"/>
        </w:rPr>
        <w:t>与各利益相关方建立和谐互信的伙伴关系，并在此基础上实现价值和利益共享，实现共同受益，推动共同发展。建立定期化、制度化的利益相关方沟通机制是企业社会责任战略管理的重要组成部分。</w:t>
      </w:r>
    </w:p>
    <w:p w14:paraId="6AA4D325">
      <w:pPr>
        <w:ind w:firstLine="420" w:firstLineChars="200"/>
        <w:rPr>
          <w:rFonts w:ascii="Times New Roman" w:hAnsi="Times New Roman"/>
          <w:highlight w:val="none"/>
        </w:rPr>
      </w:pPr>
    </w:p>
    <w:p w14:paraId="5BA0BB43">
      <w:pPr>
        <w:jc w:val="center"/>
        <w:rPr>
          <w:rFonts w:ascii="Times New Roman" w:hAnsi="Times New Roman" w:eastAsiaTheme="majorEastAsia"/>
          <w:b/>
          <w:sz w:val="36"/>
          <w:szCs w:val="36"/>
          <w:highlight w:val="none"/>
        </w:rPr>
        <w:sectPr>
          <w:footerReference r:id="rId6" w:type="default"/>
          <w:pgSz w:w="11906" w:h="16838"/>
          <w:pgMar w:top="1440" w:right="1800" w:bottom="1440" w:left="1800" w:header="851" w:footer="992" w:gutter="0"/>
          <w:pgNumType w:fmt="decimal" w:start="1"/>
          <w:cols w:space="425" w:num="1"/>
          <w:docGrid w:type="lines" w:linePitch="312" w:charSpace="0"/>
        </w:sectPr>
      </w:pPr>
    </w:p>
    <w:p w14:paraId="40777D0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default" w:ascii="Times New Roman" w:hAnsi="Times New Roman" w:eastAsiaTheme="majorEastAsia"/>
          <w:b/>
          <w:sz w:val="36"/>
          <w:szCs w:val="36"/>
          <w:highlight w:val="none"/>
          <w:lang w:val="en-US" w:eastAsia="zh-CN"/>
        </w:rPr>
      </w:pPr>
      <w:r>
        <w:rPr>
          <w:rFonts w:ascii="Times New Roman" w:hAnsi="Times New Roman" w:eastAsiaTheme="majorEastAsia"/>
          <w:b/>
          <w:sz w:val="36"/>
          <w:szCs w:val="36"/>
          <w:highlight w:val="none"/>
        </w:rPr>
        <w:t>第一篇：</w:t>
      </w:r>
      <w:r>
        <w:rPr>
          <w:rFonts w:hint="eastAsia" w:ascii="Times New Roman" w:hAnsi="Times New Roman" w:eastAsiaTheme="majorEastAsia"/>
          <w:b/>
          <w:sz w:val="36"/>
          <w:szCs w:val="36"/>
          <w:highlight w:val="none"/>
          <w:lang w:val="en-US" w:eastAsia="zh-CN"/>
        </w:rPr>
        <w:t>面向未来 科技先行</w:t>
      </w:r>
    </w:p>
    <w:p w14:paraId="001F7A61">
      <w:pPr>
        <w:autoSpaceDE w:val="0"/>
        <w:autoSpaceDN w:val="0"/>
        <w:ind w:firstLine="420"/>
        <w:rPr>
          <w:rFonts w:ascii="Times New Roman" w:hAnsi="Times New Roman"/>
          <w:kern w:val="0"/>
          <w:highlight w:val="none"/>
        </w:rPr>
      </w:pPr>
    </w:p>
    <w:p w14:paraId="045F6CBC">
      <w:pPr>
        <w:autoSpaceDE w:val="0"/>
        <w:autoSpaceDN w:val="0"/>
        <w:ind w:firstLine="420"/>
        <w:rPr>
          <w:rFonts w:ascii="Times New Roman" w:hAnsi="Times New Roman"/>
          <w:kern w:val="0"/>
          <w:highlight w:val="none"/>
        </w:rPr>
      </w:pPr>
      <w:r>
        <w:rPr>
          <w:rFonts w:ascii="Times New Roman" w:hAnsi="Times New Roman"/>
          <w:kern w:val="0"/>
          <w:highlight w:val="none"/>
        </w:rPr>
        <mc:AlternateContent>
          <mc:Choice Requires="wps">
            <w:drawing>
              <wp:anchor distT="0" distB="0" distL="114300" distR="114300" simplePos="0" relativeHeight="251667456" behindDoc="0" locked="0" layoutInCell="1" allowOverlap="1">
                <wp:simplePos x="0" y="0"/>
                <wp:positionH relativeFrom="column">
                  <wp:posOffset>36195</wp:posOffset>
                </wp:positionH>
                <wp:positionV relativeFrom="paragraph">
                  <wp:posOffset>14605</wp:posOffset>
                </wp:positionV>
                <wp:extent cx="3183255" cy="500380"/>
                <wp:effectExtent l="0" t="0" r="1905" b="2540"/>
                <wp:wrapNone/>
                <wp:docPr id="23" name="Text Box 24"/>
                <wp:cNvGraphicFramePr/>
                <a:graphic xmlns:a="http://schemas.openxmlformats.org/drawingml/2006/main">
                  <a:graphicData uri="http://schemas.microsoft.com/office/word/2010/wordprocessingShape">
                    <wps:wsp>
                      <wps:cNvSpPr txBox="1">
                        <a:spLocks noChangeArrowheads="1"/>
                      </wps:cNvSpPr>
                      <wps:spPr bwMode="auto">
                        <a:xfrm>
                          <a:off x="0" y="0"/>
                          <a:ext cx="3183255" cy="500380"/>
                        </a:xfrm>
                        <a:prstGeom prst="rect">
                          <a:avLst/>
                        </a:prstGeom>
                        <a:solidFill>
                          <a:srgbClr val="FFFFFF"/>
                        </a:solidFill>
                        <a:ln w="9525">
                          <a:noFill/>
                          <a:miter lim="800000"/>
                        </a:ln>
                        <a:effectLst/>
                      </wps:spPr>
                      <wps:txbx>
                        <w:txbxContent>
                          <w:p w14:paraId="742DAC87">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●引领时尚潮流，提升品牌形象</w:t>
                            </w:r>
                          </w:p>
                        </w:txbxContent>
                      </wps:txbx>
                      <wps:bodyPr rot="0" vert="horz" wrap="square" lIns="91440" tIns="45720" rIns="91440" bIns="45720" anchor="t" anchorCtr="0" upright="1">
                        <a:noAutofit/>
                      </wps:bodyPr>
                    </wps:wsp>
                  </a:graphicData>
                </a:graphic>
              </wp:anchor>
            </w:drawing>
          </mc:Choice>
          <mc:Fallback>
            <w:pict>
              <v:shape id="Text Box 24" o:spid="_x0000_s1026" o:spt="202" type="#_x0000_t202" style="position:absolute;left:0pt;margin-left:2.85pt;margin-top:1.15pt;height:39.4pt;width:250.65pt;z-index:251667456;mso-width-relative:page;mso-height-relative:page;" fillcolor="#FFFFFF" filled="t" stroked="f" coordsize="21600,21600" o:gfxdata="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D0z7tUAAAAGAQAADwAAAAAAAAABACAAAAAiAAAAZHJzL2Rvd25yZXYu&#10;eG1sUEsBAhQAFAAAAAgAh07iQF593fI3AgAAbQQAAA4AAAAAAAAAAQAgAAAAJAEAAGRycy9lMm9E&#10;b2MueG1sUEsFBgAAAAAGAAYAWQEAAM0FAAAAAA==&#10;">
                <v:fill on="t" focussize="0,0"/>
                <v:stroke on="f" miterlimit="8" joinstyle="miter"/>
                <v:imagedata o:title=""/>
                <o:lock v:ext="edit" aspectratio="f"/>
                <v:textbox>
                  <w:txbxContent>
                    <w:p w14:paraId="742DAC87">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●引领时尚潮流，提升品牌形象</w:t>
                      </w:r>
                    </w:p>
                  </w:txbxContent>
                </v:textbox>
              </v:shape>
            </w:pict>
          </mc:Fallback>
        </mc:AlternateContent>
      </w:r>
    </w:p>
    <w:p w14:paraId="2B930AB3">
      <w:pPr>
        <w:rPr>
          <w:rFonts w:ascii="Times New Roman" w:hAnsi="Times New Roman"/>
          <w:sz w:val="28"/>
          <w:szCs w:val="28"/>
          <w:highlight w:val="none"/>
          <w:bdr w:val="single" w:color="auto" w:sz="4" w:space="0"/>
        </w:rPr>
      </w:pPr>
    </w:p>
    <w:p w14:paraId="2E7049FD">
      <w:pPr>
        <w:spacing w:beforeLines="50" w:afterLines="50"/>
        <w:outlineLvl w:val="0"/>
        <w:rPr>
          <w:rFonts w:ascii="Times New Roman" w:hAnsi="Times New Roman"/>
          <w:b/>
          <w:sz w:val="24"/>
          <w:szCs w:val="24"/>
          <w:highlight w:val="none"/>
        </w:rPr>
      </w:pPr>
      <w:r>
        <w:rPr>
          <w:rFonts w:hint="eastAsia" w:ascii="宋体" w:hAnsi="宋体" w:cs="宋体"/>
          <w:b/>
          <w:sz w:val="24"/>
          <w:szCs w:val="24"/>
          <w:highlight w:val="none"/>
        </w:rPr>
        <w:t>◎</w:t>
      </w:r>
      <w:r>
        <w:rPr>
          <w:rFonts w:ascii="Times New Roman" w:hAnsi="Times New Roman"/>
          <w:b/>
          <w:sz w:val="24"/>
          <w:szCs w:val="24"/>
          <w:highlight w:val="none"/>
        </w:rPr>
        <w:t>品牌推广</w:t>
      </w:r>
    </w:p>
    <w:p w14:paraId="63CCC01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szCs w:val="21"/>
          <w:highlight w:val="none"/>
        </w:rPr>
      </w:pPr>
      <w:r>
        <w:rPr>
          <w:rFonts w:hint="eastAsia" w:ascii="宋体" w:hAnsi="宋体" w:cs="宋体"/>
          <w:b/>
          <w:szCs w:val="21"/>
          <w:highlight w:val="none"/>
        </w:rPr>
        <w:t>◆</w:t>
      </w:r>
      <w:r>
        <w:rPr>
          <w:rFonts w:ascii="Times New Roman" w:hAnsi="Times New Roman"/>
          <w:b/>
          <w:szCs w:val="21"/>
          <w:highlight w:val="none"/>
        </w:rPr>
        <w:t>客户推广</w:t>
      </w:r>
    </w:p>
    <w:p w14:paraId="15BED8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highlight w:val="none"/>
        </w:rPr>
      </w:pPr>
      <w:r>
        <w:rPr>
          <w:rFonts w:hint="eastAsia" w:ascii="Times New Roman" w:hAnsi="Times New Roman"/>
          <w:color w:val="auto"/>
          <w:highlight w:val="none"/>
          <w:lang w:eastAsia="zh-CN"/>
        </w:rPr>
        <w:t>智金</w:t>
      </w:r>
      <w:r>
        <w:rPr>
          <w:rFonts w:ascii="Times New Roman" w:hAnsi="Times New Roman"/>
          <w:color w:val="auto"/>
          <w:highlight w:val="none"/>
        </w:rPr>
        <w:t>持续向客户推广</w:t>
      </w:r>
      <w:r>
        <w:rPr>
          <w:rFonts w:hint="eastAsia" w:ascii="Times New Roman" w:hAnsi="Times New Roman"/>
          <w:color w:val="auto"/>
          <w:highlight w:val="none"/>
          <w:lang w:eastAsia="zh-CN"/>
        </w:rPr>
        <w:t>智金</w:t>
      </w:r>
      <w:r>
        <w:rPr>
          <w:rFonts w:ascii="Times New Roman" w:hAnsi="Times New Roman"/>
          <w:color w:val="auto"/>
          <w:highlight w:val="none"/>
        </w:rPr>
        <w:t>品牌和新产品，定期对重点等产业链各环节进行拜访和沟通，积极与终端品牌开展多种形式合作，进行个性化产品服务，定期组织推广会，邀请客户参观</w:t>
      </w:r>
      <w:r>
        <w:rPr>
          <w:rFonts w:hint="eastAsia" w:ascii="Times New Roman" w:hAnsi="Times New Roman"/>
          <w:color w:val="auto"/>
          <w:highlight w:val="none"/>
          <w:lang w:eastAsia="zh-CN"/>
        </w:rPr>
        <w:t>智金</w:t>
      </w:r>
      <w:r>
        <w:rPr>
          <w:rFonts w:ascii="Times New Roman" w:hAnsi="Times New Roman"/>
          <w:color w:val="auto"/>
          <w:highlight w:val="none"/>
        </w:rPr>
        <w:t>工业园，努力推进与重点客户的战略合作，利用各自的优势资源，共同开发新产品，丰富</w:t>
      </w:r>
      <w:r>
        <w:rPr>
          <w:rFonts w:hint="eastAsia" w:ascii="Times New Roman" w:hAnsi="Times New Roman"/>
          <w:color w:val="auto"/>
          <w:highlight w:val="none"/>
          <w:lang w:val="en-US" w:eastAsia="zh-CN"/>
        </w:rPr>
        <w:t>开关柜</w:t>
      </w:r>
      <w:r>
        <w:rPr>
          <w:rFonts w:ascii="Times New Roman" w:hAnsi="Times New Roman"/>
          <w:color w:val="auto"/>
          <w:highlight w:val="none"/>
        </w:rPr>
        <w:t>行业产品线，同时也提升了</w:t>
      </w:r>
      <w:r>
        <w:rPr>
          <w:rFonts w:hint="eastAsia" w:ascii="Times New Roman" w:hAnsi="Times New Roman"/>
          <w:color w:val="auto"/>
          <w:highlight w:val="none"/>
          <w:lang w:eastAsia="zh-CN"/>
        </w:rPr>
        <w:t>智金</w:t>
      </w:r>
      <w:r>
        <w:rPr>
          <w:rFonts w:ascii="Times New Roman" w:hAnsi="Times New Roman"/>
          <w:color w:val="auto"/>
          <w:highlight w:val="none"/>
        </w:rPr>
        <w:t>的企业核心竞争力。</w:t>
      </w:r>
    </w:p>
    <w:p w14:paraId="631FA52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ascii="Times New Roman" w:hAnsi="Times New Roman"/>
          <w:b/>
          <w:color w:val="auto"/>
          <w:szCs w:val="21"/>
          <w:highlight w:val="none"/>
        </w:rPr>
      </w:pPr>
      <w:r>
        <w:rPr>
          <w:rFonts w:hint="eastAsia" w:ascii="宋体" w:hAnsi="宋体" w:cs="宋体"/>
          <w:b/>
          <w:color w:val="auto"/>
          <w:szCs w:val="21"/>
          <w:highlight w:val="none"/>
        </w:rPr>
        <w:t>◆</w:t>
      </w:r>
      <w:r>
        <w:rPr>
          <w:rFonts w:ascii="Times New Roman" w:hAnsi="Times New Roman"/>
          <w:b/>
          <w:color w:val="auto"/>
          <w:szCs w:val="21"/>
          <w:highlight w:val="none"/>
        </w:rPr>
        <w:t>媒体推广</w:t>
      </w:r>
    </w:p>
    <w:p w14:paraId="553E70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s="Times New Roman"/>
          <w:color w:val="auto"/>
          <w:highlight w:val="none"/>
        </w:rPr>
      </w:pPr>
      <w:r>
        <w:rPr>
          <w:rFonts w:hint="eastAsia" w:ascii="Times New Roman" w:hAnsi="Times New Roman" w:cs="Times New Roman"/>
          <w:color w:val="auto"/>
          <w:highlight w:val="none"/>
        </w:rPr>
        <w:t>配合新的品牌定位和营销策略，</w:t>
      </w:r>
      <w:r>
        <w:rPr>
          <w:rFonts w:hint="eastAsia" w:ascii="Times New Roman" w:hAnsi="Times New Roman" w:cs="Times New Roman"/>
          <w:color w:val="auto"/>
          <w:highlight w:val="none"/>
          <w:lang w:eastAsia="zh-CN"/>
        </w:rPr>
        <w:t>智金</w:t>
      </w:r>
      <w:r>
        <w:rPr>
          <w:rFonts w:hint="eastAsia" w:ascii="Times New Roman" w:hAnsi="Times New Roman" w:cs="Times New Roman"/>
          <w:color w:val="auto"/>
          <w:highlight w:val="none"/>
        </w:rPr>
        <w:t>组织进行了一系列的媒体传播推广活动。</w:t>
      </w:r>
      <w:r>
        <w:rPr>
          <w:rFonts w:hint="eastAsia" w:ascii="Times New Roman" w:hAnsi="Times New Roman" w:cs="Times New Roman"/>
          <w:color w:val="auto"/>
          <w:highlight w:val="none"/>
          <w:lang w:eastAsia="zh-CN"/>
        </w:rPr>
        <w:t>202</w:t>
      </w:r>
      <w:r>
        <w:rPr>
          <w:rFonts w:hint="eastAsia" w:ascii="Times New Roman" w:hAnsi="Times New Roman" w:cs="Times New Roman"/>
          <w:color w:val="auto"/>
          <w:highlight w:val="none"/>
          <w:lang w:val="en-US" w:eastAsia="zh-CN"/>
        </w:rPr>
        <w:t>4</w:t>
      </w:r>
      <w:r>
        <w:rPr>
          <w:rFonts w:hint="eastAsia" w:ascii="Times New Roman" w:hAnsi="Times New Roman" w:cs="Times New Roman"/>
          <w:color w:val="auto"/>
          <w:highlight w:val="none"/>
        </w:rPr>
        <w:t>年，公司利用展会、终端客户拜访，进行国内的产能布局，并进行战略升级。</w:t>
      </w:r>
    </w:p>
    <w:p w14:paraId="5C67965F">
      <w:pPr>
        <w:spacing w:beforeLines="50" w:afterLines="50"/>
        <w:rPr>
          <w:rFonts w:hint="eastAsia" w:ascii="Times New Roman" w:hAnsi="Times New Roman" w:eastAsia="楷体"/>
          <w:highlight w:val="none"/>
          <w:lang w:val="en-US" w:eastAsia="zh-CN"/>
        </w:rPr>
      </w:pPr>
      <w:r>
        <w:rPr>
          <w:rFonts w:hint="eastAsia" w:ascii="Times New Roman" w:hAnsi="Times New Roman" w:eastAsia="楷体"/>
          <w:highlight w:val="none"/>
          <w:lang w:val="en-US" w:eastAsia="zh-CN"/>
        </w:rPr>
        <w:t xml:space="preserve"> </w:t>
      </w:r>
      <w:r>
        <w:rPr>
          <w:rFonts w:ascii="Times New Roman" w:hAnsi="Times New Roman" w:eastAsia="华文楷体"/>
          <w:highlight w:val="none"/>
        </w:rPr>
        <mc:AlternateContent>
          <mc:Choice Requires="wps">
            <w:drawing>
              <wp:anchor distT="0" distB="0" distL="114300" distR="114300" simplePos="0" relativeHeight="251669504" behindDoc="0" locked="0" layoutInCell="1" allowOverlap="1">
                <wp:simplePos x="0" y="0"/>
                <wp:positionH relativeFrom="column">
                  <wp:posOffset>-6350</wp:posOffset>
                </wp:positionH>
                <wp:positionV relativeFrom="paragraph">
                  <wp:posOffset>80010</wp:posOffset>
                </wp:positionV>
                <wp:extent cx="1850390" cy="500380"/>
                <wp:effectExtent l="0" t="0" r="8890" b="2540"/>
                <wp:wrapNone/>
                <wp:docPr id="20"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50390" cy="500380"/>
                        </a:xfrm>
                        <a:prstGeom prst="rect">
                          <a:avLst/>
                        </a:prstGeom>
                        <a:solidFill>
                          <a:srgbClr val="FFFFFF"/>
                        </a:solidFill>
                        <a:ln w="9525">
                          <a:noFill/>
                          <a:miter lim="800000"/>
                        </a:ln>
                      </wps:spPr>
                      <wps:txbx>
                        <w:txbxContent>
                          <w:p w14:paraId="2AD80394">
                            <w:pP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●科技引领未来</w:t>
                            </w:r>
                          </w:p>
                        </w:txbxContent>
                      </wps:txbx>
                      <wps:bodyPr rot="0" vert="horz" wrap="square" lIns="91440" tIns="45720" rIns="91440" bIns="45720" anchor="t" anchorCtr="0" upright="1">
                        <a:noAutofit/>
                      </wps:bodyPr>
                    </wps:wsp>
                  </a:graphicData>
                </a:graphic>
              </wp:anchor>
            </w:drawing>
          </mc:Choice>
          <mc:Fallback>
            <w:pict>
              <v:shape id="Text Box 24" o:spid="_x0000_s1026" o:spt="202" type="#_x0000_t202" style="position:absolute;left:0pt;margin-left:-0.5pt;margin-top:6.3pt;height:39.4pt;width:145.7pt;z-index:251669504;mso-width-relative:page;mso-height-relative:page;" fillcolor="#FFFFFF" filled="t" stroked="f" coordsize="21600,21600" o:gfxdata="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SBtVNYAAAAIAQAADwAAAAAAAAABACAAAAAiAAAAZHJzL2Rvd25yZXYueG1sUEsB&#10;AhQAFAAAAAgAh07iQKYg7zIwAgAAXwQAAA4AAAAAAAAAAQAgAAAAJQEAAGRycy9lMm9Eb2MueG1s&#10;UEsFBgAAAAAGAAYAWQEAAMcFAAAAAA==&#10;">
                <v:fill on="t" focussize="0,0"/>
                <v:stroke on="f" miterlimit="8" joinstyle="miter"/>
                <v:imagedata o:title=""/>
                <o:lock v:ext="edit" aspectratio="f"/>
                <v:textbox>
                  <w:txbxContent>
                    <w:p w14:paraId="2AD80394">
                      <w:pP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●科技引领未来</w:t>
                      </w:r>
                    </w:p>
                  </w:txbxContent>
                </v:textbox>
              </v:shape>
            </w:pict>
          </mc:Fallback>
        </mc:AlternateContent>
      </w:r>
      <w:r>
        <w:rPr>
          <w:rFonts w:hint="eastAsia" w:ascii="Times New Roman" w:hAnsi="Times New Roman" w:eastAsia="楷体"/>
          <w:highlight w:val="none"/>
          <w:lang w:val="en-US" w:eastAsia="zh-CN"/>
        </w:rPr>
        <w:t>.</w:t>
      </w:r>
    </w:p>
    <w:p w14:paraId="13BA732B">
      <w:pPr>
        <w:spacing w:beforeLines="50" w:afterLines="50"/>
        <w:rPr>
          <w:rFonts w:hint="eastAsia" w:ascii="宋体" w:hAnsi="宋体" w:cs="宋体"/>
          <w:b/>
          <w:sz w:val="24"/>
          <w:szCs w:val="24"/>
          <w:highlight w:val="none"/>
        </w:rPr>
      </w:pPr>
    </w:p>
    <w:p w14:paraId="64E332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i w:val="0"/>
          <w:iCs w:val="0"/>
          <w:color w:val="auto"/>
          <w:kern w:val="0"/>
          <w:highlight w:val="none"/>
          <w:lang w:val="en-US" w:eastAsia="zh-CN"/>
        </w:rPr>
      </w:pPr>
      <w:r>
        <w:rPr>
          <w:rFonts w:hint="eastAsia" w:ascii="Times New Roman" w:hAnsi="Times New Roman"/>
          <w:i w:val="0"/>
          <w:iCs w:val="0"/>
          <w:color w:val="auto"/>
          <w:kern w:val="0"/>
          <w:highlight w:val="none"/>
          <w:lang w:val="en-US" w:eastAsia="zh-CN"/>
        </w:rPr>
        <w:t>智金坚持创新与价值创造，加大研发投入，加速产品迭代和技术革新。我们保障产品优质可靠，为客户带来更好并且可持续的价值努力，推动全球能源转型和绿色发展。</w:t>
      </w:r>
    </w:p>
    <w:p w14:paraId="04D110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eastAsia="宋体"/>
          <w:i w:val="0"/>
          <w:iCs w:val="0"/>
          <w:color w:val="auto"/>
          <w:kern w:val="0"/>
          <w:highlight w:val="none"/>
          <w:lang w:val="en-US" w:eastAsia="zh-CN"/>
        </w:rPr>
      </w:pPr>
      <w:r>
        <w:rPr>
          <w:rFonts w:hint="eastAsia" w:ascii="Times New Roman" w:hAnsi="Times New Roman"/>
          <w:i w:val="0"/>
          <w:iCs w:val="0"/>
          <w:color w:val="auto"/>
          <w:kern w:val="0"/>
          <w:highlight w:val="none"/>
          <w:lang w:val="en-US" w:eastAsia="zh-CN"/>
        </w:rPr>
        <w:t>智金</w:t>
      </w:r>
      <w:r>
        <w:rPr>
          <w:rFonts w:hint="eastAsia" w:ascii="Times New Roman" w:hAnsi="Times New Roman"/>
          <w:i w:val="0"/>
          <w:iCs w:val="0"/>
          <w:color w:val="auto"/>
          <w:kern w:val="0"/>
          <w:highlight w:val="none"/>
        </w:rPr>
        <w:t>尊重他人的知识产权，同时不断的在产品的技术上推动突破创新点</w:t>
      </w:r>
      <w:r>
        <w:rPr>
          <w:rFonts w:hint="eastAsia" w:ascii="Times New Roman" w:hAnsi="Times New Roman"/>
          <w:i w:val="0"/>
          <w:iCs w:val="0"/>
          <w:color w:val="auto"/>
          <w:kern w:val="0"/>
          <w:highlight w:val="none"/>
          <w:lang w:eastAsia="zh-CN"/>
        </w:rPr>
        <w:t>，截至202</w:t>
      </w:r>
      <w:r>
        <w:rPr>
          <w:rFonts w:hint="eastAsia" w:ascii="Times New Roman" w:hAnsi="Times New Roman"/>
          <w:i w:val="0"/>
          <w:iCs w:val="0"/>
          <w:color w:val="auto"/>
          <w:kern w:val="0"/>
          <w:highlight w:val="none"/>
          <w:lang w:val="en-US" w:eastAsia="zh-CN"/>
        </w:rPr>
        <w:t>4</w:t>
      </w:r>
      <w:r>
        <w:rPr>
          <w:rFonts w:hint="eastAsia" w:ascii="Times New Roman" w:hAnsi="Times New Roman"/>
          <w:i w:val="0"/>
          <w:iCs w:val="0"/>
          <w:color w:val="auto"/>
          <w:kern w:val="0"/>
          <w:highlight w:val="none"/>
          <w:lang w:eastAsia="zh-CN"/>
        </w:rPr>
        <w:t>年12月31日，累计申请专利</w:t>
      </w:r>
      <w:r>
        <w:rPr>
          <w:rFonts w:hint="eastAsia" w:ascii="Times New Roman" w:hAnsi="Times New Roman"/>
          <w:i w:val="0"/>
          <w:iCs w:val="0"/>
          <w:color w:val="auto"/>
          <w:kern w:val="0"/>
          <w:highlight w:val="none"/>
          <w:lang w:val="en-US" w:eastAsia="zh-CN"/>
        </w:rPr>
        <w:t>19</w:t>
      </w:r>
      <w:r>
        <w:rPr>
          <w:rFonts w:hint="eastAsia" w:ascii="Times New Roman" w:hAnsi="Times New Roman"/>
          <w:i w:val="0"/>
          <w:iCs w:val="0"/>
          <w:color w:val="auto"/>
          <w:kern w:val="0"/>
          <w:highlight w:val="none"/>
          <w:lang w:eastAsia="zh-CN"/>
        </w:rPr>
        <w:t>件，其中发明专利</w:t>
      </w:r>
      <w:r>
        <w:rPr>
          <w:rFonts w:hint="eastAsia" w:ascii="Times New Roman" w:hAnsi="Times New Roman"/>
          <w:i w:val="0"/>
          <w:iCs w:val="0"/>
          <w:color w:val="auto"/>
          <w:kern w:val="0"/>
          <w:highlight w:val="none"/>
          <w:lang w:val="en-US" w:eastAsia="zh-CN"/>
        </w:rPr>
        <w:t>1</w:t>
      </w:r>
      <w:r>
        <w:rPr>
          <w:rFonts w:hint="eastAsia" w:ascii="Times New Roman" w:hAnsi="Times New Roman"/>
          <w:i w:val="0"/>
          <w:iCs w:val="0"/>
          <w:color w:val="auto"/>
          <w:kern w:val="0"/>
          <w:highlight w:val="none"/>
          <w:lang w:eastAsia="zh-CN"/>
        </w:rPr>
        <w:t>件，</w:t>
      </w:r>
      <w:r>
        <w:rPr>
          <w:rFonts w:hint="eastAsia" w:ascii="Times New Roman" w:hAnsi="Times New Roman"/>
          <w:i w:val="0"/>
          <w:iCs w:val="0"/>
          <w:color w:val="auto"/>
          <w:kern w:val="0"/>
          <w:highlight w:val="none"/>
          <w:lang w:val="en-US" w:eastAsia="zh-CN"/>
        </w:rPr>
        <w:t>实用新型18件</w:t>
      </w:r>
      <w:r>
        <w:rPr>
          <w:rFonts w:hint="eastAsia" w:ascii="Times New Roman" w:hAnsi="Times New Roman"/>
          <w:i w:val="0"/>
          <w:iCs w:val="0"/>
          <w:color w:val="auto"/>
          <w:kern w:val="0"/>
          <w:highlight w:val="none"/>
          <w:lang w:eastAsia="zh-CN"/>
        </w:rPr>
        <w:t>。</w:t>
      </w:r>
      <w:r>
        <w:rPr>
          <w:rFonts w:hint="eastAsia" w:ascii="Times New Roman" w:hAnsi="Times New Roman"/>
          <w:i w:val="0"/>
          <w:iCs w:val="0"/>
          <w:color w:val="auto"/>
          <w:kern w:val="0"/>
          <w:highlight w:val="none"/>
          <w:lang w:val="en-US" w:eastAsia="zh-CN"/>
        </w:rPr>
        <w:t>智金高度重视技术创新，持续加大研发投入。</w:t>
      </w:r>
    </w:p>
    <w:p w14:paraId="0114EEE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Times New Roman" w:hAnsi="Times New Roman"/>
          <w:color w:val="FF0000"/>
          <w:highlight w:val="yellow"/>
        </w:rPr>
      </w:pPr>
      <w:r>
        <w:rPr>
          <w:rFonts w:ascii="Times New Roman" w:hAnsi="Times New Roman" w:eastAsiaTheme="majorEastAsia"/>
          <w:szCs w:val="21"/>
          <w:highlight w:val="none"/>
        </w:rPr>
        <mc:AlternateContent>
          <mc:Choice Requires="wps">
            <w:drawing>
              <wp:inline distT="0" distB="0" distL="114300" distR="114300">
                <wp:extent cx="1850390" cy="500380"/>
                <wp:effectExtent l="0" t="0" r="8890" b="2540"/>
                <wp:docPr id="2"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850390" cy="500380"/>
                        </a:xfrm>
                        <a:prstGeom prst="rect">
                          <a:avLst/>
                        </a:prstGeom>
                        <a:solidFill>
                          <a:srgbClr val="FFFFFF"/>
                        </a:solidFill>
                        <a:ln w="9525">
                          <a:noFill/>
                          <a:miter lim="800000"/>
                        </a:ln>
                        <a:effectLst/>
                      </wps:spPr>
                      <wps:txbx>
                        <w:txbxContent>
                          <w:p w14:paraId="5E0F7B1C">
                            <w:pPr>
                              <w:keepNext w:val="0"/>
                              <w:keepLines w:val="0"/>
                              <w:pageBreakBefore w:val="0"/>
                              <w:widowControl w:val="0"/>
                              <w:kinsoku/>
                              <w:wordWrap/>
                              <w:overflowPunct/>
                              <w:topLinePunct w:val="0"/>
                              <w:bidi w:val="0"/>
                              <w:adjustRightInd/>
                              <w:snapToGrid/>
                              <w:textAlignment w:val="auto"/>
                              <w:rPr>
                                <w:rFonts w:hint="default"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创新体系建设</w:t>
                            </w:r>
                          </w:p>
                        </w:txbxContent>
                      </wps:txbx>
                      <wps:bodyPr rot="0" vert="horz" wrap="square" lIns="91440" tIns="45720" rIns="91440" bIns="45720" anchor="t" anchorCtr="0" upright="1">
                        <a:noAutofit/>
                      </wps:bodyPr>
                    </wps:wsp>
                  </a:graphicData>
                </a:graphic>
              </wp:inline>
            </w:drawing>
          </mc:Choice>
          <mc:Fallback>
            <w:pict>
              <v:shape id="Text Box 24" o:spid="_x0000_s1026" o:spt="202" type="#_x0000_t202" style="height:39.4pt;width:145.7pt;" fillcolor="#FFFFFF" filled="t" stroked="f" coordsize="21600,21600" o:gfxdata="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RwK7r9QAAAAEAQAADwAAAAAAAAABACAAAAAiAAAAZHJzL2Rvd25yZXYueG1s&#10;UEsBAhQAFAAAAAgAh07iQBYDT/I1AgAAbAQAAA4AAAAAAAAAAQAgAAAAIwEAAGRycy9lMm9Eb2Mu&#10;eG1sUEsFBgAAAAAGAAYAWQEAAMoFAAAAAA==&#10;">
                <v:fill on="t" focussize="0,0"/>
                <v:stroke on="f" miterlimit="8" joinstyle="miter"/>
                <v:imagedata o:title=""/>
                <o:lock v:ext="edit" aspectratio="f"/>
                <v:textbox>
                  <w:txbxContent>
                    <w:p w14:paraId="5E0F7B1C">
                      <w:pPr>
                        <w:keepNext w:val="0"/>
                        <w:keepLines w:val="0"/>
                        <w:pageBreakBefore w:val="0"/>
                        <w:widowControl w:val="0"/>
                        <w:kinsoku/>
                        <w:wordWrap/>
                        <w:overflowPunct/>
                        <w:topLinePunct w:val="0"/>
                        <w:bidi w:val="0"/>
                        <w:adjustRightInd/>
                        <w:snapToGrid/>
                        <w:textAlignment w:val="auto"/>
                        <w:rPr>
                          <w:rFonts w:hint="default"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创新体系建设</w:t>
                      </w:r>
                    </w:p>
                  </w:txbxContent>
                </v:textbox>
                <w10:wrap type="none"/>
                <w10:anchorlock/>
              </v:shape>
            </w:pict>
          </mc:Fallback>
        </mc:AlternateContent>
      </w:r>
    </w:p>
    <w:p w14:paraId="4FC863E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color w:val="auto"/>
          <w:highlight w:val="none"/>
        </w:rPr>
      </w:pPr>
      <w:r>
        <w:rPr>
          <w:rFonts w:hint="eastAsia" w:ascii="Times New Roman" w:hAnsi="Times New Roman"/>
          <w:color w:val="auto"/>
          <w:highlight w:val="none"/>
          <w:lang w:val="en-US" w:eastAsia="zh-CN"/>
        </w:rPr>
        <w:t>智金</w:t>
      </w:r>
      <w:r>
        <w:rPr>
          <w:rFonts w:hint="eastAsia" w:ascii="Times New Roman" w:hAnsi="Times New Roman"/>
          <w:color w:val="auto"/>
          <w:highlight w:val="none"/>
        </w:rPr>
        <w:t>科技创新管理工作的制度规范和流程要求，构建了涵盖风险预警、过程管理、成果分享、任务评价、人才激励等规范化科研创新工作管理体系。</w:t>
      </w:r>
    </w:p>
    <w:p w14:paraId="437E7A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auto"/>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企业</w:t>
      </w:r>
      <w:r>
        <w:rPr>
          <w:rFonts w:hint="eastAsia" w:ascii="Times New Roman" w:hAnsi="Times New Roman"/>
          <w:color w:val="auto"/>
          <w:highlight w:val="none"/>
        </w:rPr>
        <w:t>在深耕技术创新的同时，紧抓研发质量，不断提升实验中心的管理水平和测试能力。我们始终将“生命周期标准”贯穿于创新产品测试的每一个环节，涵盖材料测试、新品测试、应用测试，确保创新质量可靠。</w:t>
      </w:r>
      <w:r>
        <w:rPr>
          <w:rFonts w:hint="eastAsia" w:ascii="Times New Roman" w:hAnsi="Times New Roman"/>
          <w:color w:val="auto"/>
          <w:highlight w:val="none"/>
          <w:lang w:val="en-US" w:eastAsia="zh-CN"/>
        </w:rPr>
        <w:t>.</w:t>
      </w:r>
    </w:p>
    <w:p w14:paraId="79D2A2F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ascii="Times New Roman" w:hAnsi="Times New Roman"/>
          <w:color w:val="FF0000"/>
          <w:highlight w:val="none"/>
          <w:lang w:val="en-US" w:eastAsia="zh-CN"/>
        </w:rPr>
      </w:pPr>
      <w:r>
        <w:rPr>
          <w:rFonts w:ascii="Times New Roman" w:hAnsi="Times New Roman"/>
          <w:highlight w:val="none"/>
        </w:rPr>
        <mc:AlternateContent>
          <mc:Choice Requires="wps">
            <w:drawing>
              <wp:inline distT="0" distB="0" distL="114300" distR="114300">
                <wp:extent cx="1903730" cy="500380"/>
                <wp:effectExtent l="0" t="0" r="1270" b="2540"/>
                <wp:docPr id="17" name="Text Box 24"/>
                <wp:cNvGraphicFramePr/>
                <a:graphic xmlns:a="http://schemas.openxmlformats.org/drawingml/2006/main">
                  <a:graphicData uri="http://schemas.microsoft.com/office/word/2010/wordprocessingShape">
                    <wps:wsp>
                      <wps:cNvSpPr txBox="1">
                        <a:spLocks noChangeArrowheads="1"/>
                      </wps:cNvSpPr>
                      <wps:spPr bwMode="auto">
                        <a:xfrm>
                          <a:off x="0" y="0"/>
                          <a:ext cx="1903730" cy="500380"/>
                        </a:xfrm>
                        <a:prstGeom prst="rect">
                          <a:avLst/>
                        </a:prstGeom>
                        <a:solidFill>
                          <a:srgbClr val="FFFFFF"/>
                        </a:solidFill>
                        <a:ln w="9525">
                          <a:noFill/>
                          <a:miter lim="800000"/>
                        </a:ln>
                        <a:effectLst/>
                      </wps:spPr>
                      <wps:txbx>
                        <w:txbxContent>
                          <w:p w14:paraId="01B42945">
                            <w:pPr>
                              <w:rPr>
                                <w:rFonts w:hint="default"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产品责任</w:t>
                            </w:r>
                          </w:p>
                        </w:txbxContent>
                      </wps:txbx>
                      <wps:bodyPr rot="0" vert="horz" wrap="square" lIns="91440" tIns="45720" rIns="91440" bIns="45720" anchor="t" anchorCtr="0" upright="1">
                        <a:noAutofit/>
                      </wps:bodyPr>
                    </wps:wsp>
                  </a:graphicData>
                </a:graphic>
              </wp:inline>
            </w:drawing>
          </mc:Choice>
          <mc:Fallback>
            <w:pict>
              <v:shape id="Text Box 24" o:spid="_x0000_s1026" o:spt="202" type="#_x0000_t202" style="height:39.4pt;width:149.9pt;" fillcolor="#FFFFFF" filled="t" stroked="f" coordsize="21600,21600" o:gfxdata="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YFfXAdMAAAAEAQAADwAAAAAAAAABACAAAAAiAAAAZHJzL2Rvd25yZXYueG1s&#10;UEsBAhQAFAAAAAgAh07iQPx9KEU2AgAAbQQAAA4AAAAAAAAAAQAgAAAAIgEAAGRycy9lMm9Eb2Mu&#10;eG1sUEsFBgAAAAAGAAYAWQEAAMoFAAAAAA==&#10;">
                <v:fill on="t" focussize="0,0"/>
                <v:stroke on="f" miterlimit="8" joinstyle="miter"/>
                <v:imagedata o:title=""/>
                <o:lock v:ext="edit" aspectratio="f"/>
                <v:textbox>
                  <w:txbxContent>
                    <w:p w14:paraId="01B42945">
                      <w:pPr>
                        <w:rPr>
                          <w:rFonts w:hint="default"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产品责任</w:t>
                      </w:r>
                    </w:p>
                  </w:txbxContent>
                </v:textbox>
                <w10:wrap type="none"/>
                <w10:anchorlock/>
              </v:shape>
            </w:pict>
          </mc:Fallback>
        </mc:AlternateContent>
      </w:r>
    </w:p>
    <w:p w14:paraId="379639E6">
      <w:pPr>
        <w:spacing w:beforeLines="50" w:afterLines="50"/>
        <w:outlineLvl w:val="0"/>
        <w:rPr>
          <w:rFonts w:ascii="Times New Roman" w:hAnsi="Times New Roman"/>
          <w:b/>
          <w:sz w:val="24"/>
          <w:szCs w:val="24"/>
          <w:highlight w:val="none"/>
        </w:rPr>
      </w:pPr>
      <w:r>
        <w:rPr>
          <w:rFonts w:hint="eastAsia" w:ascii="宋体" w:hAnsi="宋体" w:cs="宋体"/>
          <w:b/>
          <w:sz w:val="24"/>
          <w:szCs w:val="24"/>
          <w:highlight w:val="none"/>
        </w:rPr>
        <w:t>◎</w:t>
      </w:r>
      <w:r>
        <w:rPr>
          <w:rFonts w:ascii="Times New Roman" w:hAnsi="Times New Roman"/>
          <w:b/>
          <w:sz w:val="24"/>
          <w:szCs w:val="24"/>
          <w:highlight w:val="none"/>
        </w:rPr>
        <w:t>加强品质管理，增强客户满意度</w:t>
      </w:r>
    </w:p>
    <w:p w14:paraId="0485A48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val="en-US" w:eastAsia="zh-CN"/>
        </w:rPr>
        <w:t>智金</w:t>
      </w:r>
      <w:r>
        <w:rPr>
          <w:rFonts w:hint="eastAsia" w:ascii="Times New Roman" w:hAnsi="Times New Roman"/>
          <w:color w:val="auto"/>
          <w:highlight w:val="none"/>
        </w:rPr>
        <w:t>秉持“质量优先”的原则，构建质量战略路线，打造端到端的全价值链质量管理体系，依托规模化产业基地和成熟的全流程质量管理规程，严格把控产品质量，坚持用最优质的产品为客户提供最大价值</w:t>
      </w:r>
      <w:r>
        <w:rPr>
          <w:rFonts w:hint="eastAsia" w:ascii="Times New Roman" w:hAnsi="Times New Roman"/>
          <w:color w:val="auto"/>
          <w:highlight w:val="none"/>
          <w:lang w:eastAsia="zh-CN"/>
        </w:rPr>
        <w:t>。</w:t>
      </w:r>
    </w:p>
    <w:p w14:paraId="04764EC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建设质量生态，成为世界级质量标杆，质量是隆基的核心竞争力，为客户创造质量价值，实现品牌质量溢价。</w:t>
      </w:r>
    </w:p>
    <w:p w14:paraId="2F9DF4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以用户体验为中心，构建大质量管理体系，每个人都对自己的工作质量负责，形成零缺陷的质量文化。</w:t>
      </w:r>
    </w:p>
    <w:p w14:paraId="4BE802F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highlight w:val="none"/>
          <w:lang w:eastAsia="zh-CN"/>
        </w:rPr>
      </w:pPr>
      <w:r>
        <w:rPr>
          <w:rFonts w:hint="eastAsia" w:ascii="Times New Roman" w:hAnsi="Times New Roman"/>
          <w:color w:val="auto"/>
          <w:highlight w:val="none"/>
          <w:lang w:eastAsia="zh-CN"/>
        </w:rPr>
        <w:t>拉通全价值链的质量管理，整合质量管理体系，建立持续改善机制，提升问题解决能力，构建质量比较优势。</w:t>
      </w:r>
    </w:p>
    <w:p w14:paraId="44F7E0D1">
      <w:pPr>
        <w:spacing w:beforeLines="50" w:afterLines="50"/>
        <w:outlineLvl w:val="0"/>
        <w:rPr>
          <w:rFonts w:ascii="Times New Roman" w:hAnsi="Times New Roman"/>
          <w:b/>
          <w:sz w:val="24"/>
          <w:szCs w:val="24"/>
          <w:highlight w:val="none"/>
        </w:rPr>
      </w:pPr>
      <w:r>
        <w:rPr>
          <w:rFonts w:hint="eastAsia" w:ascii="宋体" w:hAnsi="宋体" w:cs="宋体"/>
          <w:b/>
          <w:sz w:val="24"/>
          <w:szCs w:val="24"/>
          <w:highlight w:val="none"/>
        </w:rPr>
        <w:t>◎</w:t>
      </w:r>
      <w:r>
        <w:rPr>
          <w:rFonts w:ascii="Times New Roman" w:hAnsi="Times New Roman"/>
          <w:b/>
          <w:sz w:val="24"/>
          <w:szCs w:val="24"/>
          <w:highlight w:val="none"/>
        </w:rPr>
        <w:t>积极参加国际标准认证，提升产品品质和品牌形象</w:t>
      </w:r>
    </w:p>
    <w:p w14:paraId="50B04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highlight w:val="none"/>
        </w:rPr>
      </w:pPr>
      <w:r>
        <w:rPr>
          <w:rFonts w:hint="eastAsia" w:ascii="Times New Roman" w:hAnsi="Times New Roman"/>
          <w:color w:val="auto"/>
          <w:highlight w:val="none"/>
          <w:lang w:eastAsia="zh-CN"/>
        </w:rPr>
        <w:t>智金</w:t>
      </w:r>
      <w:r>
        <w:rPr>
          <w:rFonts w:ascii="Times New Roman" w:hAnsi="Times New Roman"/>
          <w:color w:val="auto"/>
          <w:highlight w:val="none"/>
        </w:rPr>
        <w:t>借助各种体系和产品认证，达到了持续改善自身的质量管理体系和环境管理体系的目的，在社会责任，环境保护，节能降耗减排方面不断提升管理水平和能力，不仅产品获得市场认可，更有效提升</w:t>
      </w:r>
      <w:r>
        <w:rPr>
          <w:rFonts w:hint="eastAsia" w:ascii="Times New Roman" w:hAnsi="Times New Roman"/>
          <w:color w:val="auto"/>
          <w:highlight w:val="none"/>
          <w:lang w:eastAsia="zh-CN"/>
        </w:rPr>
        <w:t>智金</w:t>
      </w:r>
      <w:r>
        <w:rPr>
          <w:rFonts w:ascii="Times New Roman" w:hAnsi="Times New Roman"/>
          <w:color w:val="auto"/>
          <w:highlight w:val="none"/>
        </w:rPr>
        <w:t>的品牌形象。</w:t>
      </w:r>
    </w:p>
    <w:p w14:paraId="2CBCE8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eastAsia="宋体"/>
          <w:color w:val="auto"/>
          <w:highlight w:val="none"/>
          <w:lang w:eastAsia="zh-CN"/>
        </w:rPr>
      </w:pPr>
      <w:r>
        <w:rPr>
          <w:rFonts w:hint="eastAsia" w:ascii="Times New Roman" w:hAnsi="Times New Roman"/>
          <w:color w:val="auto"/>
          <w:highlight w:val="none"/>
        </w:rPr>
        <w:t>多年以来，</w:t>
      </w:r>
      <w:r>
        <w:rPr>
          <w:rFonts w:hint="eastAsia" w:ascii="Times New Roman" w:hAnsi="Times New Roman"/>
          <w:color w:val="auto"/>
          <w:highlight w:val="none"/>
          <w:lang w:eastAsia="zh-CN"/>
        </w:rPr>
        <w:t>智金</w:t>
      </w:r>
      <w:r>
        <w:rPr>
          <w:rFonts w:hint="eastAsia" w:ascii="Times New Roman" w:hAnsi="Times New Roman"/>
          <w:color w:val="auto"/>
          <w:highlight w:val="none"/>
        </w:rPr>
        <w:t>一直十分重视各种体系认证与产品认证工作，我司通过并持续保持三年一换证、一年一监督审核的体系认证有</w:t>
      </w:r>
      <w:r>
        <w:rPr>
          <w:rFonts w:ascii="Times New Roman" w:hAnsi="Times New Roman"/>
          <w:color w:val="auto"/>
          <w:highlight w:val="none"/>
        </w:rPr>
        <w:t>：（1）ISO</w:t>
      </w:r>
      <w:r>
        <w:rPr>
          <w:rFonts w:hint="eastAsia" w:ascii="Times New Roman" w:hAnsi="Times New Roman"/>
          <w:color w:val="auto"/>
          <w:highlight w:val="none"/>
          <w:lang w:val="en-US" w:eastAsia="zh-CN"/>
        </w:rPr>
        <w:t xml:space="preserve"> </w:t>
      </w:r>
      <w:r>
        <w:rPr>
          <w:rFonts w:ascii="Times New Roman" w:hAnsi="Times New Roman"/>
          <w:color w:val="auto"/>
          <w:highlight w:val="none"/>
        </w:rPr>
        <w:t>9001：20</w:t>
      </w:r>
      <w:r>
        <w:rPr>
          <w:rFonts w:hint="eastAsia" w:ascii="Times New Roman" w:hAnsi="Times New Roman"/>
          <w:color w:val="auto"/>
          <w:highlight w:val="none"/>
        </w:rPr>
        <w:t>15</w:t>
      </w:r>
      <w:r>
        <w:rPr>
          <w:rFonts w:ascii="Times New Roman" w:hAnsi="Times New Roman"/>
          <w:color w:val="auto"/>
          <w:highlight w:val="none"/>
        </w:rPr>
        <w:t>（质量</w:t>
      </w:r>
      <w:r>
        <w:rPr>
          <w:rFonts w:hint="eastAsia" w:ascii="Times New Roman" w:hAnsi="Times New Roman"/>
          <w:color w:val="auto"/>
          <w:highlight w:val="none"/>
        </w:rPr>
        <w:t>管理</w:t>
      </w:r>
      <w:r>
        <w:rPr>
          <w:rFonts w:ascii="Times New Roman" w:hAnsi="Times New Roman"/>
          <w:color w:val="auto"/>
          <w:highlight w:val="none"/>
        </w:rPr>
        <w:t>体系认证）；（2）ISO14001：20</w:t>
      </w:r>
      <w:r>
        <w:rPr>
          <w:rFonts w:hint="eastAsia" w:ascii="Times New Roman" w:hAnsi="Times New Roman"/>
          <w:color w:val="auto"/>
          <w:highlight w:val="none"/>
        </w:rPr>
        <w:t>15</w:t>
      </w:r>
      <w:r>
        <w:rPr>
          <w:rFonts w:ascii="Times New Roman" w:hAnsi="Times New Roman"/>
          <w:color w:val="auto"/>
          <w:highlight w:val="none"/>
        </w:rPr>
        <w:t>（环境</w:t>
      </w:r>
      <w:r>
        <w:rPr>
          <w:rFonts w:hint="eastAsia" w:ascii="Times New Roman" w:hAnsi="Times New Roman"/>
          <w:color w:val="auto"/>
          <w:highlight w:val="none"/>
        </w:rPr>
        <w:t>管理</w:t>
      </w:r>
      <w:r>
        <w:rPr>
          <w:rFonts w:ascii="Times New Roman" w:hAnsi="Times New Roman"/>
          <w:color w:val="auto"/>
          <w:highlight w:val="none"/>
        </w:rPr>
        <w:t>体系认证）；</w:t>
      </w:r>
      <w:r>
        <w:rPr>
          <w:rFonts w:hint="eastAsia" w:ascii="Times New Roman" w:hAnsi="Times New Roman"/>
          <w:color w:val="auto"/>
          <w:highlight w:val="none"/>
        </w:rPr>
        <w:t>（3）ISO 45001：2018（职业健康安全管理体系认证）</w:t>
      </w:r>
      <w:r>
        <w:rPr>
          <w:rFonts w:hint="eastAsia" w:ascii="Times New Roman" w:hAnsi="Times New Roman"/>
          <w:color w:val="auto"/>
          <w:highlight w:val="none"/>
          <w:lang w:eastAsia="zh-CN"/>
        </w:rPr>
        <w:t>；（</w:t>
      </w:r>
      <w:r>
        <w:rPr>
          <w:rFonts w:hint="eastAsia" w:ascii="Times New Roman" w:hAnsi="Times New Roman"/>
          <w:color w:val="auto"/>
          <w:highlight w:val="none"/>
          <w:lang w:val="en-US" w:eastAsia="zh-CN"/>
        </w:rPr>
        <w:t>4</w:t>
      </w:r>
      <w:r>
        <w:rPr>
          <w:rFonts w:hint="eastAsia" w:ascii="Times New Roman" w:hAnsi="Times New Roman"/>
          <w:color w:val="auto"/>
          <w:highlight w:val="none"/>
          <w:lang w:eastAsia="zh-CN"/>
        </w:rPr>
        <w:t>）ISO 50001:2018（能源管理体系认证）。</w:t>
      </w:r>
    </w:p>
    <w:p w14:paraId="28B65E1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楷体_GB2312"/>
          <w:kern w:val="0"/>
          <w:highlight w:val="none"/>
        </w:rPr>
        <w:sectPr>
          <w:pgSz w:w="11906" w:h="16838"/>
          <w:pgMar w:top="1440" w:right="1800" w:bottom="1440" w:left="1800" w:header="851" w:footer="992" w:gutter="0"/>
          <w:pgNumType w:fmt="decimal"/>
          <w:cols w:space="425" w:num="1"/>
          <w:docGrid w:type="lines" w:linePitch="312" w:charSpace="0"/>
        </w:sectPr>
      </w:pPr>
      <w:r>
        <w:rPr>
          <w:rFonts w:ascii="Times New Roman" w:hAnsi="Times New Roman"/>
          <w:color w:val="auto"/>
          <w:highlight w:val="none"/>
        </w:rPr>
        <w:t>此外，</w:t>
      </w:r>
      <w:r>
        <w:rPr>
          <w:rFonts w:hint="eastAsia" w:ascii="Times New Roman" w:hAnsi="Times New Roman"/>
          <w:color w:val="auto"/>
          <w:highlight w:val="none"/>
          <w:lang w:eastAsia="zh-CN"/>
        </w:rPr>
        <w:t>智金</w:t>
      </w:r>
      <w:r>
        <w:rPr>
          <w:rFonts w:ascii="Times New Roman" w:hAnsi="Times New Roman"/>
          <w:color w:val="auto"/>
          <w:highlight w:val="none"/>
        </w:rPr>
        <w:t>与国内终端客户密切协作，与国内价值客户的企业标准一对一对接，最终使</w:t>
      </w:r>
      <w:r>
        <w:rPr>
          <w:rFonts w:hint="eastAsia" w:ascii="Times New Roman" w:hAnsi="Times New Roman"/>
          <w:color w:val="auto"/>
          <w:highlight w:val="none"/>
          <w:lang w:eastAsia="zh-CN"/>
        </w:rPr>
        <w:t>智金</w:t>
      </w:r>
      <w:r>
        <w:rPr>
          <w:rFonts w:hint="eastAsia" w:ascii="Times New Roman" w:hAnsi="Times New Roman"/>
          <w:color w:val="auto"/>
          <w:highlight w:val="none"/>
          <w:lang w:val="en-US" w:eastAsia="zh-CN"/>
        </w:rPr>
        <w:t>产品</w:t>
      </w:r>
      <w:r>
        <w:rPr>
          <w:rFonts w:ascii="Times New Roman" w:hAnsi="Times New Roman"/>
          <w:color w:val="auto"/>
          <w:highlight w:val="none"/>
        </w:rPr>
        <w:t>满足市场不同客户等级及品种类别的需求。</w:t>
      </w:r>
      <w:r>
        <w:rPr>
          <w:rFonts w:hint="eastAsia" w:ascii="Times New Roman" w:hAnsi="Times New Roman"/>
          <w:color w:val="auto"/>
          <w:highlight w:val="none"/>
        </w:rPr>
        <w:t>同时借助各种体系认证和产品</w:t>
      </w:r>
      <w:r>
        <w:rPr>
          <w:rFonts w:hint="eastAsia" w:ascii="Times New Roman" w:hAnsi="Times New Roman"/>
          <w:color w:val="auto"/>
          <w:highlight w:val="none"/>
          <w:lang w:val="en-US" w:eastAsia="zh-CN"/>
        </w:rPr>
        <w:t>型式检验报告</w:t>
      </w:r>
      <w:r>
        <w:rPr>
          <w:rFonts w:hint="eastAsia" w:ascii="Times New Roman" w:hAnsi="Times New Roman"/>
          <w:color w:val="auto"/>
          <w:highlight w:val="none"/>
        </w:rPr>
        <w:t>，推动企业内部持续改善自身的质量管理体系和环境管理体系，如在社会责任、环境保护、节能降耗减排等方面不断提升管理水平</w:t>
      </w:r>
      <w:r>
        <w:rPr>
          <w:rFonts w:hint="eastAsia" w:ascii="Times New Roman" w:hAnsi="Times New Roman"/>
          <w:color w:val="auto"/>
          <w:highlight w:val="none"/>
          <w:lang w:eastAsia="zh-CN"/>
        </w:rPr>
        <w:t>。</w:t>
      </w:r>
    </w:p>
    <w:p w14:paraId="09BBC6E2">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default" w:ascii="Times New Roman" w:hAnsi="Times New Roman" w:eastAsiaTheme="minorEastAsia"/>
          <w:b/>
          <w:sz w:val="32"/>
          <w:szCs w:val="32"/>
          <w:highlight w:val="none"/>
          <w:lang w:val="en-US" w:eastAsia="zh-CN"/>
        </w:rPr>
      </w:pPr>
      <w:r>
        <w:rPr>
          <w:rFonts w:ascii="Times New Roman" w:hAnsi="Times New Roman" w:eastAsiaTheme="minorEastAsia"/>
          <w:b/>
          <w:sz w:val="32"/>
          <w:szCs w:val="32"/>
          <w:highlight w:val="none"/>
        </w:rPr>
        <w:t>第二篇：</w:t>
      </w:r>
      <w:r>
        <w:rPr>
          <w:rFonts w:hint="eastAsia" w:ascii="Times New Roman" w:hAnsi="Times New Roman" w:eastAsiaTheme="minorEastAsia"/>
          <w:b/>
          <w:sz w:val="32"/>
          <w:szCs w:val="32"/>
          <w:highlight w:val="none"/>
          <w:lang w:val="en-US" w:eastAsia="zh-CN"/>
        </w:rPr>
        <w:t>绿色生态 低碳运营</w:t>
      </w:r>
    </w:p>
    <w:p w14:paraId="1C6BD3B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Theme="majorEastAsia"/>
          <w:kern w:val="0"/>
          <w:highlight w:val="none"/>
        </w:rPr>
      </w:pPr>
      <w:r>
        <w:rPr>
          <w:rFonts w:ascii="Times New Roman" w:hAnsi="Times New Roman" w:eastAsiaTheme="majorEastAsia"/>
          <w:kern w:val="0"/>
          <w:highlight w:val="none"/>
        </w:rPr>
        <w:t>国家高度注重和强调可持续发展，理念也日渐深入人心，推动生活方式绿色化是推动人与自然和谐发展、实现生态文明建设的重要途径。</w:t>
      </w:r>
    </w:p>
    <w:p w14:paraId="0D4F21A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Theme="majorEastAsia"/>
          <w:color w:val="auto"/>
          <w:kern w:val="0"/>
          <w:highlight w:val="none"/>
        </w:rPr>
      </w:pPr>
      <w:r>
        <w:rPr>
          <w:rFonts w:ascii="Times New Roman" w:hAnsi="Times New Roman" w:eastAsiaTheme="majorEastAsia"/>
          <w:kern w:val="0"/>
          <w:highlight w:val="none"/>
        </w:rPr>
        <w:t>一直以</w:t>
      </w:r>
      <w:r>
        <w:rPr>
          <w:rFonts w:ascii="Times New Roman" w:hAnsi="Times New Roman" w:eastAsiaTheme="majorEastAsia"/>
          <w:color w:val="auto"/>
          <w:kern w:val="0"/>
          <w:highlight w:val="none"/>
        </w:rPr>
        <w:t>来，</w:t>
      </w:r>
      <w:r>
        <w:rPr>
          <w:rFonts w:hint="eastAsia" w:ascii="Times New Roman" w:hAnsi="Times New Roman" w:eastAsiaTheme="majorEastAsia"/>
          <w:color w:val="auto"/>
          <w:kern w:val="0"/>
          <w:highlight w:val="none"/>
          <w:lang w:eastAsia="zh-CN"/>
        </w:rPr>
        <w:t>智金</w:t>
      </w:r>
      <w:r>
        <w:rPr>
          <w:rFonts w:ascii="Times New Roman" w:hAnsi="Times New Roman" w:eastAsiaTheme="majorEastAsia"/>
          <w:color w:val="auto"/>
          <w:kern w:val="0"/>
          <w:highlight w:val="none"/>
        </w:rPr>
        <w:t>积极行动，向业界和广大消费者大力传播集环保、时尚和科技于一身</w:t>
      </w:r>
      <w:r>
        <w:rPr>
          <w:rFonts w:hint="eastAsia" w:ascii="Times New Roman" w:hAnsi="Times New Roman" w:eastAsiaTheme="majorEastAsia"/>
          <w:color w:val="auto"/>
          <w:kern w:val="0"/>
          <w:highlight w:val="none"/>
        </w:rPr>
        <w:t>家</w:t>
      </w:r>
      <w:r>
        <w:rPr>
          <w:rFonts w:ascii="Times New Roman" w:hAnsi="Times New Roman" w:eastAsiaTheme="majorEastAsia"/>
          <w:color w:val="auto"/>
          <w:kern w:val="0"/>
          <w:highlight w:val="none"/>
        </w:rPr>
        <w:t>纺产业的优势和好处，为</w:t>
      </w:r>
      <w:r>
        <w:rPr>
          <w:rFonts w:hint="eastAsia" w:ascii="Times New Roman" w:hAnsi="Times New Roman" w:eastAsiaTheme="majorEastAsia"/>
          <w:color w:val="auto"/>
          <w:kern w:val="0"/>
          <w:highlight w:val="none"/>
        </w:rPr>
        <w:t>家</w:t>
      </w:r>
      <w:r>
        <w:rPr>
          <w:rFonts w:ascii="Times New Roman" w:hAnsi="Times New Roman" w:eastAsiaTheme="majorEastAsia"/>
          <w:color w:val="auto"/>
          <w:kern w:val="0"/>
          <w:highlight w:val="none"/>
        </w:rPr>
        <w:t>纺产业的迅速发展持续做出贡献。</w:t>
      </w:r>
    </w:p>
    <w:p w14:paraId="68DF8D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Theme="majorEastAsia"/>
          <w:kern w:val="0"/>
          <w:highlight w:val="none"/>
        </w:rPr>
      </w:pPr>
      <w:r>
        <w:rPr>
          <w:rFonts w:hint="eastAsia" w:ascii="Times New Roman" w:hAnsi="Times New Roman" w:eastAsiaTheme="majorEastAsia"/>
          <w:color w:val="auto"/>
          <w:kern w:val="0"/>
          <w:highlight w:val="none"/>
          <w:lang w:eastAsia="zh-CN"/>
        </w:rPr>
        <w:t>2024年</w:t>
      </w:r>
      <w:r>
        <w:rPr>
          <w:rFonts w:ascii="Times New Roman" w:hAnsi="Times New Roman" w:eastAsiaTheme="majorEastAsia"/>
          <w:color w:val="auto"/>
          <w:kern w:val="0"/>
          <w:highlight w:val="none"/>
        </w:rPr>
        <w:t>，</w:t>
      </w:r>
      <w:r>
        <w:rPr>
          <w:rFonts w:hint="eastAsia" w:ascii="Times New Roman" w:hAnsi="Times New Roman" w:eastAsiaTheme="majorEastAsia"/>
          <w:color w:val="auto"/>
          <w:kern w:val="0"/>
          <w:highlight w:val="none"/>
          <w:lang w:eastAsia="zh-CN"/>
        </w:rPr>
        <w:t>智金</w:t>
      </w:r>
      <w:r>
        <w:rPr>
          <w:rFonts w:ascii="Times New Roman" w:hAnsi="Times New Roman" w:eastAsiaTheme="majorEastAsia"/>
          <w:color w:val="auto"/>
          <w:kern w:val="0"/>
          <w:highlight w:val="none"/>
        </w:rPr>
        <w:t>持续</w:t>
      </w:r>
      <w:r>
        <w:rPr>
          <w:rFonts w:ascii="Times New Roman" w:hAnsi="Times New Roman" w:eastAsiaTheme="majorEastAsia"/>
          <w:kern w:val="0"/>
          <w:highlight w:val="none"/>
        </w:rPr>
        <w:t>加大环保投资力度，积极实现清洁生产和节能减排，为纺织行业的可持续发展作出了积极的贡献。企业正在通过技术与服务推动环境改善，绿色责任行动已凝聚成企业革新转型的新动力。经过多年的努力，企业保护环境，环境反哺企业的正循环能量正在逐步形成，企业通过持续创新和转型升级成为绿色发展的贡献者，以绿色责任行动赢得社会的尊重。</w:t>
      </w:r>
    </w:p>
    <w:p w14:paraId="12D65C8B">
      <w:pPr>
        <w:ind w:firstLine="420" w:firstLineChars="200"/>
        <w:rPr>
          <w:rFonts w:ascii="Times New Roman" w:hAnsi="Times New Roman" w:eastAsiaTheme="majorEastAsia"/>
          <w:kern w:val="0"/>
          <w:highlight w:val="none"/>
        </w:rPr>
      </w:pPr>
      <w:r>
        <w:rPr>
          <w:rFonts w:ascii="Times New Roman" w:hAnsi="Times New Roman" w:eastAsiaTheme="majorEastAsia"/>
          <w:kern w:val="0"/>
          <w:highlight w:val="none"/>
        </w:rPr>
        <mc:AlternateContent>
          <mc:Choice Requires="wps">
            <w:drawing>
              <wp:anchor distT="0" distB="0" distL="114300" distR="114300" simplePos="0" relativeHeight="251664384" behindDoc="0" locked="0" layoutInCell="1" allowOverlap="1">
                <wp:simplePos x="0" y="0"/>
                <wp:positionH relativeFrom="column">
                  <wp:posOffset>20955</wp:posOffset>
                </wp:positionH>
                <wp:positionV relativeFrom="paragraph">
                  <wp:posOffset>45720</wp:posOffset>
                </wp:positionV>
                <wp:extent cx="2448560" cy="497840"/>
                <wp:effectExtent l="0" t="0" r="5080" b="5080"/>
                <wp:wrapNone/>
                <wp:docPr id="15" name="Text Box 57"/>
                <wp:cNvGraphicFramePr/>
                <a:graphic xmlns:a="http://schemas.openxmlformats.org/drawingml/2006/main">
                  <a:graphicData uri="http://schemas.microsoft.com/office/word/2010/wordprocessingShape">
                    <wps:wsp>
                      <wps:cNvSpPr txBox="1">
                        <a:spLocks noChangeArrowheads="1"/>
                      </wps:cNvSpPr>
                      <wps:spPr bwMode="auto">
                        <a:xfrm>
                          <a:off x="0" y="0"/>
                          <a:ext cx="2448476" cy="497840"/>
                        </a:xfrm>
                        <a:prstGeom prst="rect">
                          <a:avLst/>
                        </a:prstGeom>
                        <a:solidFill>
                          <a:srgbClr val="FFFFFF"/>
                        </a:solidFill>
                        <a:ln w="9525">
                          <a:noFill/>
                          <a:miter lim="800000"/>
                        </a:ln>
                        <a:effectLst/>
                      </wps:spPr>
                      <wps:txbx>
                        <w:txbxContent>
                          <w:p w14:paraId="4E4D2FE6">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●遵守环保法律法规</w:t>
                            </w:r>
                          </w:p>
                          <w:p w14:paraId="0EE7F5B5"/>
                        </w:txbxContent>
                      </wps:txbx>
                      <wps:bodyPr rot="0" vert="horz" wrap="square" lIns="91440" tIns="45720" rIns="91440" bIns="45720" anchor="t" anchorCtr="0" upright="1">
                        <a:noAutofit/>
                      </wps:bodyPr>
                    </wps:wsp>
                  </a:graphicData>
                </a:graphic>
              </wp:anchor>
            </w:drawing>
          </mc:Choice>
          <mc:Fallback>
            <w:pict>
              <v:shape id="Text Box 57" o:spid="_x0000_s1026" o:spt="202" type="#_x0000_t202" style="position:absolute;left:0pt;margin-left:1.65pt;margin-top:3.6pt;height:39.2pt;width:192.8pt;z-index:251664384;mso-width-relative:page;mso-height-relative:page;" fillcolor="#FFFFFF" filled="t" stroked="f" coordsize="21600,21600" o:gfxdata="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N3LKNUAAAAGAQAADwAAAAAAAAABACAAAAAiAAAAZHJzL2Rvd25yZXYu&#10;eG1sUEsBAhQAFAAAAAgAh07iQAGUlgU3AgAAbQQAAA4AAAAAAAAAAQAgAAAAJAEAAGRycy9lMm9E&#10;b2MueG1sUEsFBgAAAAAGAAYAWQEAAM0FAAAAAA==&#10;">
                <v:fill on="t" focussize="0,0"/>
                <v:stroke on="f" miterlimit="8" joinstyle="miter"/>
                <v:imagedata o:title=""/>
                <o:lock v:ext="edit" aspectratio="f"/>
                <v:textbox>
                  <w:txbxContent>
                    <w:p w14:paraId="4E4D2FE6">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●遵守环保法律法规</w:t>
                      </w:r>
                    </w:p>
                    <w:p w14:paraId="0EE7F5B5"/>
                  </w:txbxContent>
                </v:textbox>
              </v:shape>
            </w:pict>
          </mc:Fallback>
        </mc:AlternateContent>
      </w:r>
    </w:p>
    <w:p w14:paraId="4D20A2FB">
      <w:pPr>
        <w:ind w:firstLine="420" w:firstLineChars="200"/>
        <w:rPr>
          <w:rFonts w:ascii="Times New Roman" w:hAnsi="Times New Roman" w:eastAsiaTheme="majorEastAsia"/>
          <w:kern w:val="0"/>
          <w:highlight w:val="none"/>
        </w:rPr>
      </w:pPr>
    </w:p>
    <w:p w14:paraId="62A88907">
      <w:pPr>
        <w:pStyle w:val="30"/>
        <w:tabs>
          <w:tab w:val="left" w:pos="2749"/>
        </w:tabs>
        <w:jc w:val="left"/>
        <w:rPr>
          <w:rFonts w:ascii="Times New Roman" w:hAnsi="Times New Roman" w:cs="Times New Roman" w:eastAsiaTheme="majorEastAsia"/>
          <w:highlight w:val="none"/>
        </w:rPr>
      </w:pPr>
    </w:p>
    <w:p w14:paraId="6B4CA82A">
      <w:pPr>
        <w:pStyle w:val="30"/>
        <w:keepNext w:val="0"/>
        <w:keepLines w:val="0"/>
        <w:pageBreakBefore w:val="0"/>
        <w:widowControl w:val="0"/>
        <w:tabs>
          <w:tab w:val="left" w:pos="2749"/>
        </w:tabs>
        <w:kinsoku/>
        <w:wordWrap/>
        <w:overflowPunct/>
        <w:topLinePunct w:val="0"/>
        <w:autoSpaceDE/>
        <w:autoSpaceDN/>
        <w:bidi w:val="0"/>
        <w:adjustRightInd/>
        <w:snapToGrid/>
        <w:spacing w:line="360" w:lineRule="auto"/>
        <w:jc w:val="left"/>
        <w:textAlignment w:val="auto"/>
        <w:rPr>
          <w:rFonts w:hint="eastAsia" w:ascii="Times New Roman" w:hAnsi="Times New Roman" w:cs="Times New Roman" w:eastAsiaTheme="majorEastAsia"/>
          <w:color w:val="auto"/>
          <w:highlight w:val="none"/>
          <w:lang w:val="en-US" w:eastAsia="zh-CN"/>
        </w:rPr>
      </w:pPr>
      <w:r>
        <w:rPr>
          <w:rFonts w:hint="eastAsia" w:ascii="Times New Roman" w:hAnsi="Times New Roman" w:cs="Times New Roman" w:eastAsiaTheme="majorEastAsia"/>
          <w:color w:val="auto"/>
          <w:highlight w:val="none"/>
          <w:lang w:val="en-US" w:eastAsia="zh-CN"/>
        </w:rPr>
        <w:t>智金严格遵循《中华人民共和国环境影响评价法》《建设项目环境保护管理条例》等国内外法规条例，将生态保护理念覆盖项目的全生命周期，采取多项举措深化项目运营地的生态环境保护。</w:t>
      </w:r>
    </w:p>
    <w:p w14:paraId="2413E730">
      <w:pPr>
        <w:pStyle w:val="30"/>
        <w:keepNext w:val="0"/>
        <w:keepLines w:val="0"/>
        <w:pageBreakBefore w:val="0"/>
        <w:widowControl w:val="0"/>
        <w:tabs>
          <w:tab w:val="left" w:pos="2749"/>
        </w:tabs>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color w:val="auto"/>
          <w:highlight w:val="none"/>
        </w:rPr>
      </w:pPr>
      <w:r>
        <w:rPr>
          <w:rFonts w:hint="eastAsia" w:ascii="Times New Roman" w:hAnsi="Times New Roman" w:cs="Times New Roman" w:eastAsiaTheme="majorEastAsia"/>
          <w:color w:val="auto"/>
          <w:highlight w:val="none"/>
          <w:lang w:val="en-US" w:eastAsia="zh-CN"/>
        </w:rPr>
        <w:t>智金制定了</w:t>
      </w:r>
      <w:r>
        <w:rPr>
          <w:rFonts w:hint="eastAsia" w:ascii="Times New Roman" w:hAnsi="Times New Roman" w:cs="Times New Roman" w:eastAsiaTheme="majorEastAsia"/>
          <w:color w:val="auto"/>
          <w:highlight w:val="none"/>
        </w:rPr>
        <w:t>“全员参与，增强环境意识；遵守法律，预防环境污染；安全生产，节能降耗减废；持续改进，加强环境管理”</w:t>
      </w:r>
      <w:r>
        <w:rPr>
          <w:rFonts w:hint="eastAsia" w:ascii="Times New Roman" w:hAnsi="Times New Roman" w:cs="Times New Roman" w:eastAsiaTheme="majorEastAsia"/>
          <w:color w:val="auto"/>
          <w:highlight w:val="none"/>
          <w:lang w:val="en-US" w:eastAsia="zh-CN"/>
        </w:rPr>
        <w:t>的环境方针</w:t>
      </w:r>
      <w:r>
        <w:rPr>
          <w:rFonts w:hint="eastAsia" w:ascii="Times New Roman" w:hAnsi="Times New Roman" w:cs="Times New Roman" w:eastAsiaTheme="majorEastAsia"/>
          <w:color w:val="auto"/>
          <w:highlight w:val="none"/>
          <w:lang w:eastAsia="zh-CN"/>
        </w:rPr>
        <w:t>，</w:t>
      </w:r>
      <w:r>
        <w:rPr>
          <w:rFonts w:ascii="Times New Roman" w:hAnsi="Times New Roman" w:cs="Times New Roman" w:eastAsiaTheme="majorEastAsia"/>
          <w:color w:val="auto"/>
          <w:highlight w:val="none"/>
        </w:rPr>
        <w:t>满足各项环保法律法规要求，是</w:t>
      </w:r>
      <w:r>
        <w:rPr>
          <w:rFonts w:hint="eastAsia" w:ascii="Times New Roman" w:hAnsi="Times New Roman" w:cs="Times New Roman" w:eastAsiaTheme="majorEastAsia"/>
          <w:color w:val="auto"/>
          <w:highlight w:val="none"/>
          <w:lang w:eastAsia="zh-CN"/>
        </w:rPr>
        <w:t>智金</w:t>
      </w:r>
      <w:r>
        <w:rPr>
          <w:rFonts w:ascii="Times New Roman" w:hAnsi="Times New Roman" w:cs="Times New Roman" w:eastAsiaTheme="majorEastAsia"/>
          <w:color w:val="auto"/>
          <w:highlight w:val="none"/>
        </w:rPr>
        <w:t>环境方针的首要基础，</w:t>
      </w:r>
      <w:r>
        <w:rPr>
          <w:rFonts w:hint="eastAsia" w:ascii="Times New Roman" w:hAnsi="Times New Roman" w:cs="Times New Roman" w:eastAsiaTheme="majorEastAsia"/>
          <w:color w:val="auto"/>
          <w:highlight w:val="none"/>
          <w:lang w:eastAsia="zh-CN"/>
        </w:rPr>
        <w:t>智金</w:t>
      </w:r>
      <w:r>
        <w:rPr>
          <w:rFonts w:ascii="Times New Roman" w:hAnsi="Times New Roman" w:cs="Times New Roman" w:eastAsiaTheme="majorEastAsia"/>
          <w:color w:val="auto"/>
          <w:highlight w:val="none"/>
        </w:rPr>
        <w:t>在</w:t>
      </w:r>
      <w:r>
        <w:rPr>
          <w:rFonts w:hint="eastAsia" w:ascii="Times New Roman" w:hAnsi="Times New Roman" w:cs="Times New Roman" w:eastAsiaTheme="majorEastAsia"/>
          <w:color w:val="auto"/>
          <w:highlight w:val="none"/>
          <w:lang w:eastAsia="zh-CN"/>
        </w:rPr>
        <w:t>2024年</w:t>
      </w:r>
      <w:r>
        <w:rPr>
          <w:rFonts w:ascii="Times New Roman" w:hAnsi="Times New Roman" w:cs="Times New Roman" w:eastAsiaTheme="majorEastAsia"/>
          <w:color w:val="auto"/>
          <w:highlight w:val="none"/>
        </w:rPr>
        <w:t>各项环境指标均满足环境标准和产业政策要求。</w:t>
      </w:r>
    </w:p>
    <w:p w14:paraId="2748C696">
      <w:pPr>
        <w:pStyle w:val="30"/>
        <w:keepNext w:val="0"/>
        <w:keepLines w:val="0"/>
        <w:pageBreakBefore w:val="0"/>
        <w:widowControl w:val="0"/>
        <w:tabs>
          <w:tab w:val="left" w:pos="2749"/>
        </w:tabs>
        <w:kinsoku/>
        <w:wordWrap/>
        <w:overflowPunct/>
        <w:topLinePunct w:val="0"/>
        <w:autoSpaceDE/>
        <w:autoSpaceDN/>
        <w:bidi w:val="0"/>
        <w:adjustRightInd/>
        <w:snapToGrid/>
        <w:spacing w:line="360" w:lineRule="auto"/>
        <w:jc w:val="left"/>
        <w:textAlignment w:val="auto"/>
        <w:rPr>
          <w:rFonts w:ascii="Times New Roman" w:hAnsi="Times New Roman" w:cs="Times New Roman" w:eastAsiaTheme="majorEastAsia"/>
          <w:highlight w:val="none"/>
        </w:rPr>
      </w:pPr>
      <w:r>
        <w:rPr>
          <w:rFonts w:ascii="Times New Roman" w:hAnsi="Times New Roman" w:cs="Times New Roman" w:eastAsiaTheme="majorEastAsia"/>
          <w:color w:val="auto"/>
          <w:highlight w:val="none"/>
        </w:rPr>
        <w:t>为达到上述目标，</w:t>
      </w:r>
      <w:r>
        <w:rPr>
          <w:rFonts w:hint="eastAsia" w:ascii="Times New Roman" w:hAnsi="Times New Roman" w:cs="Times New Roman" w:eastAsiaTheme="majorEastAsia"/>
          <w:color w:val="auto"/>
          <w:highlight w:val="none"/>
          <w:lang w:eastAsia="zh-CN"/>
        </w:rPr>
        <w:t>智金</w:t>
      </w:r>
      <w:r>
        <w:rPr>
          <w:rFonts w:ascii="Times New Roman" w:hAnsi="Times New Roman" w:cs="Times New Roman" w:eastAsiaTheme="majorEastAsia"/>
          <w:color w:val="auto"/>
          <w:highlight w:val="none"/>
        </w:rPr>
        <w:t>一方面持续保持对环境保护</w:t>
      </w:r>
      <w:r>
        <w:rPr>
          <w:rFonts w:ascii="Times New Roman" w:hAnsi="Times New Roman" w:cs="Times New Roman" w:eastAsiaTheme="majorEastAsia"/>
          <w:highlight w:val="none"/>
        </w:rPr>
        <w:t>的</w:t>
      </w:r>
      <w:r>
        <w:rPr>
          <w:rFonts w:hint="eastAsia" w:ascii="Times New Roman" w:hAnsi="Times New Roman" w:cs="Times New Roman" w:eastAsiaTheme="majorEastAsia"/>
          <w:highlight w:val="none"/>
          <w:lang w:val="en-US" w:eastAsia="zh-CN"/>
        </w:rPr>
        <w:t>投入</w:t>
      </w:r>
      <w:r>
        <w:rPr>
          <w:rFonts w:ascii="Times New Roman" w:hAnsi="Times New Roman" w:cs="Times New Roman" w:eastAsiaTheme="majorEastAsia"/>
          <w:highlight w:val="none"/>
        </w:rPr>
        <w:t>，以满足环保工作开展的各项资金资源需要。另一方面，以ISO14001环境管理体系为主线，将环保法律法规与各类国际认证进行有机整合，以此确立公司环境管理方针、明确管理职责权限，落实管理目标责任；将环保工作贯穿于生产生活、销售经营等各个环节。将绿色环保理念融入产品研发、技术改进、产品交付的整个过程，同时积极推行清洁生产、精细管理、环保产品，循环利用，从而在实现对利益相关方绿色保护责任的同时，促进企业的精益发展。在环保设施建设与运营、环保法律与产业政策、节能减排、环境管理、环境应急等多方面进行提升。</w:t>
      </w:r>
    </w:p>
    <w:p w14:paraId="7BBC1636">
      <w:pPr>
        <w:pStyle w:val="30"/>
        <w:keepNext w:val="0"/>
        <w:keepLines w:val="0"/>
        <w:pageBreakBefore w:val="0"/>
        <w:widowControl w:val="0"/>
        <w:tabs>
          <w:tab w:val="left" w:pos="2749"/>
        </w:tabs>
        <w:kinsoku/>
        <w:wordWrap/>
        <w:overflowPunct/>
        <w:topLinePunct w:val="0"/>
        <w:autoSpaceDE/>
        <w:autoSpaceDN/>
        <w:bidi w:val="0"/>
        <w:adjustRightInd/>
        <w:snapToGrid/>
        <w:spacing w:line="360" w:lineRule="auto"/>
        <w:ind w:left="0" w:leftChars="0" w:firstLine="0" w:firstLineChars="0"/>
        <w:jc w:val="left"/>
        <w:textAlignment w:val="auto"/>
        <w:rPr>
          <w:rFonts w:hint="eastAsia" w:ascii="汉仪雅酷黑 85W" w:hAnsi="汉仪雅酷黑 85W" w:eastAsia="汉仪雅酷黑 85W" w:cs="汉仪雅酷黑 85W"/>
          <w:b/>
          <w:bCs w:val="0"/>
          <w:color w:val="558ED5" w:themeColor="text2" w:themeTint="99"/>
          <w:kern w:val="2"/>
          <w:sz w:val="32"/>
          <w:szCs w:val="32"/>
          <w:highlight w:val="none"/>
          <w:lang w:val="en-US" w:eastAsia="zh-CN" w:bidi="ar-SA"/>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w:t>
      </w:r>
      <w:r>
        <w:rPr>
          <w:rFonts w:hint="eastAsia" w:ascii="汉仪雅酷黑 85W" w:hAnsi="汉仪雅酷黑 85W" w:eastAsia="汉仪雅酷黑 85W" w:cs="汉仪雅酷黑 85W"/>
          <w:b/>
          <w:bCs w:val="0"/>
          <w:color w:val="558ED5" w:themeColor="text2" w:themeTint="99"/>
          <w:kern w:val="2"/>
          <w:sz w:val="32"/>
          <w:szCs w:val="32"/>
          <w:highlight w:val="none"/>
          <w:lang w:val="en-US" w:eastAsia="zh-CN" w:bidi="ar-SA"/>
          <w14:textFill>
            <w14:solidFill>
              <w14:schemeClr w14:val="tx2">
                <w14:lumMod w14:val="60000"/>
                <w14:lumOff w14:val="40000"/>
              </w14:schemeClr>
            </w14:solidFill>
          </w14:textFill>
        </w:rPr>
        <w:t>能源管理</w:t>
      </w:r>
    </w:p>
    <w:p w14:paraId="25D2B9BF">
      <w:pPr>
        <w:pStyle w:val="30"/>
        <w:keepNext w:val="0"/>
        <w:keepLines w:val="0"/>
        <w:pageBreakBefore w:val="0"/>
        <w:widowControl w:val="0"/>
        <w:tabs>
          <w:tab w:val="left" w:pos="2749"/>
        </w:tabs>
        <w:kinsoku/>
        <w:wordWrap/>
        <w:overflowPunct/>
        <w:topLinePunct w:val="0"/>
        <w:autoSpaceDE/>
        <w:autoSpaceDN/>
        <w:bidi w:val="0"/>
        <w:adjustRightInd/>
        <w:snapToGrid w:val="0"/>
        <w:spacing w:line="360" w:lineRule="auto"/>
        <w:textAlignment w:val="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智金严格遵守《中华人民共和国节约能源法》等法律法规，持续优化公司能源管理体系，制定《能源管理体系手册》《能源管理程序》等规定，设立能源管理工作领导小组，设立能源管理工作专项预算，推行全员参与能源管理。</w:t>
      </w:r>
    </w:p>
    <w:p w14:paraId="2687D128">
      <w:pPr>
        <w:pStyle w:val="30"/>
        <w:keepNext w:val="0"/>
        <w:keepLines w:val="0"/>
        <w:pageBreakBefore w:val="0"/>
        <w:widowControl w:val="0"/>
        <w:tabs>
          <w:tab w:val="left" w:pos="2749"/>
        </w:tabs>
        <w:kinsoku/>
        <w:wordWrap/>
        <w:overflowPunct/>
        <w:topLinePunct w:val="0"/>
        <w:autoSpaceDE/>
        <w:autoSpaceDN/>
        <w:bidi w:val="0"/>
        <w:adjustRightInd/>
        <w:snapToGrid w:val="0"/>
        <w:spacing w:line="360" w:lineRule="auto"/>
        <w:ind w:left="0" w:leftChars="0" w:firstLine="0" w:firstLineChars="0"/>
        <w:textAlignment w:val="auto"/>
        <w:rPr>
          <w:rFonts w:ascii="Times New Roman" w:hAnsi="Times New Roman" w:cs="Times New Roman" w:eastAsiaTheme="majorEastAsia"/>
          <w:highlight w:val="none"/>
        </w:rPr>
      </w:pPr>
      <w:r>
        <w:rPr>
          <w:rFonts w:ascii="Times New Roman" w:hAnsi="Times New Roman" w:cs="Times New Roman" w:eastAsiaTheme="majorEastAsia"/>
          <w:highlight w:val="none"/>
        </w:rPr>
        <mc:AlternateContent>
          <mc:Choice Requires="wps">
            <w:drawing>
              <wp:inline distT="0" distB="0" distL="114300" distR="114300">
                <wp:extent cx="1920875" cy="497840"/>
                <wp:effectExtent l="0" t="0" r="14605" b="5080"/>
                <wp:docPr id="14" name="Text Box 62"/>
                <wp:cNvGraphicFramePr/>
                <a:graphic xmlns:a="http://schemas.openxmlformats.org/drawingml/2006/main">
                  <a:graphicData uri="http://schemas.microsoft.com/office/word/2010/wordprocessingShape">
                    <wps:wsp>
                      <wps:cNvSpPr txBox="1">
                        <a:spLocks noChangeArrowheads="1"/>
                      </wps:cNvSpPr>
                      <wps:spPr bwMode="auto">
                        <a:xfrm>
                          <a:off x="0" y="0"/>
                          <a:ext cx="1920875" cy="497840"/>
                        </a:xfrm>
                        <a:prstGeom prst="rect">
                          <a:avLst/>
                        </a:prstGeom>
                        <a:solidFill>
                          <a:srgbClr val="FFFFFF"/>
                        </a:solidFill>
                        <a:ln w="9525">
                          <a:noFill/>
                          <a:miter lim="800000"/>
                        </a:ln>
                        <a:effectLst/>
                      </wps:spPr>
                      <wps:txbx>
                        <w:txbxContent>
                          <w:p w14:paraId="66A12497">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绿色</w:t>
                            </w: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产品开发</w:t>
                            </w:r>
                          </w:p>
                          <w:p w14:paraId="2A7CF52D"/>
                        </w:txbxContent>
                      </wps:txbx>
                      <wps:bodyPr rot="0" vert="horz" wrap="square" lIns="91440" tIns="45720" rIns="91440" bIns="45720" anchor="t" anchorCtr="0" upright="1">
                        <a:noAutofit/>
                      </wps:bodyPr>
                    </wps:wsp>
                  </a:graphicData>
                </a:graphic>
              </wp:inline>
            </w:drawing>
          </mc:Choice>
          <mc:Fallback>
            <w:pict>
              <v:shape id="Text Box 62" o:spid="_x0000_s1026" o:spt="202" type="#_x0000_t202" style="height:39.2pt;width:151.25pt;" fillcolor="#FFFFFF" filled="t" stroked="f" coordsize="21600,21600" o:gfxdata="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Mjxm9LUAAAABAEAAA8AAAAAAAAAAQAgAAAAIgAAAGRycy9kb3ducmV2Lnht&#10;bFBLAQIUABQAAAAIAIdO4kCe24RzNgIAAG0EAAAOAAAAAAAAAAEAIAAAACMBAABkcnMvZTJvRG9j&#10;LnhtbFBLBQYAAAAABgAGAFkBAADLBQAAAAA=&#10;">
                <v:fill on="t" focussize="0,0"/>
                <v:stroke on="f" miterlimit="8" joinstyle="miter"/>
                <v:imagedata o:title=""/>
                <o:lock v:ext="edit" aspectratio="f"/>
                <v:textbox>
                  <w:txbxContent>
                    <w:p w14:paraId="66A12497">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绿色</w:t>
                      </w: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产品开发</w:t>
                      </w:r>
                    </w:p>
                    <w:p w14:paraId="2A7CF52D"/>
                  </w:txbxContent>
                </v:textbox>
                <w10:wrap type="none"/>
                <w10:anchorlock/>
              </v:shape>
            </w:pict>
          </mc:Fallback>
        </mc:AlternateContent>
      </w:r>
    </w:p>
    <w:p w14:paraId="362125E7">
      <w:pPr>
        <w:pStyle w:val="30"/>
        <w:keepNext w:val="0"/>
        <w:keepLines w:val="0"/>
        <w:pageBreakBefore w:val="0"/>
        <w:widowControl w:val="0"/>
        <w:tabs>
          <w:tab w:val="left" w:pos="2749"/>
        </w:tabs>
        <w:kinsoku/>
        <w:wordWrap/>
        <w:overflowPunct/>
        <w:topLinePunct w:val="0"/>
        <w:autoSpaceDE/>
        <w:autoSpaceDN/>
        <w:bidi w:val="0"/>
        <w:adjustRightInd/>
        <w:snapToGrid w:val="0"/>
        <w:spacing w:line="360" w:lineRule="auto"/>
        <w:textAlignment w:val="auto"/>
        <w:rPr>
          <w:rFonts w:ascii="Times New Roman" w:hAnsi="Times New Roman" w:eastAsia="宋体" w:cs="Times New Roman"/>
          <w:color w:val="FF0000"/>
          <w:highlight w:val="none"/>
        </w:rPr>
      </w:pPr>
      <w:r>
        <w:rPr>
          <w:rFonts w:hint="eastAsia" w:ascii="Times New Roman" w:hAnsi="Times New Roman" w:eastAsia="宋体" w:cs="Times New Roman"/>
          <w:color w:val="auto"/>
          <w:highlight w:val="none"/>
          <w:lang w:val="en-US" w:eastAsia="zh-CN"/>
        </w:rPr>
        <w:t>智金</w:t>
      </w:r>
      <w:r>
        <w:rPr>
          <w:rFonts w:hint="eastAsia" w:ascii="Times New Roman" w:hAnsi="Times New Roman" w:eastAsia="宋体" w:cs="Times New Roman"/>
          <w:color w:val="auto"/>
          <w:highlight w:val="none"/>
        </w:rPr>
        <w:t>按照全生命周期的理念，在产品设计开发阶段系统考虑原材料选用、生产、销售、使用、回收、处理等各个环节对资源环境造成的影响，力求产品在全生命周期中最大限度降低资源消耗、尽可能少用或不用含有有害物质的原材料，减少污染物产生和排放，从而实现环境保护的活动</w:t>
      </w:r>
      <w:r>
        <w:rPr>
          <w:rFonts w:hint="eastAsia" w:ascii="Times New Roman" w:hAnsi="Times New Roman" w:eastAsia="宋体" w:cs="Times New Roman"/>
          <w:color w:val="FF0000"/>
          <w:highlight w:val="none"/>
        </w:rPr>
        <w:t>。</w:t>
      </w:r>
    </w:p>
    <w:p w14:paraId="6AF49178">
      <w:pPr>
        <w:pStyle w:val="30"/>
        <w:keepNext w:val="0"/>
        <w:keepLines w:val="0"/>
        <w:pageBreakBefore w:val="0"/>
        <w:widowControl w:val="0"/>
        <w:tabs>
          <w:tab w:val="left" w:pos="2749"/>
        </w:tabs>
        <w:kinsoku/>
        <w:wordWrap/>
        <w:overflowPunct/>
        <w:topLinePunct w:val="0"/>
        <w:autoSpaceDE/>
        <w:autoSpaceDN/>
        <w:bidi w:val="0"/>
        <w:adjustRightInd/>
        <w:snapToGrid/>
        <w:spacing w:line="240" w:lineRule="auto"/>
        <w:textAlignment w:val="auto"/>
        <w:rPr>
          <w:rFonts w:ascii="Times New Roman" w:hAnsi="Times New Roman" w:eastAsia="宋体" w:cs="Times New Roman"/>
          <w:highlight w:val="none"/>
        </w:rPr>
      </w:pPr>
    </w:p>
    <w:p w14:paraId="773839EB">
      <w:pPr>
        <w:pStyle w:val="30"/>
        <w:tabs>
          <w:tab w:val="left" w:pos="2749"/>
        </w:tabs>
        <w:rPr>
          <w:rFonts w:ascii="Times New Roman" w:hAnsi="Times New Roman" w:cs="Times New Roman" w:eastAsiaTheme="majorEastAsia"/>
          <w:highlight w:val="none"/>
        </w:rPr>
      </w:pPr>
      <w:r>
        <w:rPr>
          <w:rFonts w:ascii="Times New Roman" w:hAnsi="Times New Roman" w:cs="Times New Roman" w:eastAsiaTheme="majorEastAsia"/>
          <w:highlight w:val="none"/>
        </w:rPr>
        <mc:AlternateContent>
          <mc:Choice Requires="wps">
            <w:drawing>
              <wp:anchor distT="0" distB="0" distL="114300" distR="114300" simplePos="0" relativeHeight="251666432" behindDoc="0" locked="0" layoutInCell="1" allowOverlap="1">
                <wp:simplePos x="0" y="0"/>
                <wp:positionH relativeFrom="column">
                  <wp:posOffset>-40005</wp:posOffset>
                </wp:positionH>
                <wp:positionV relativeFrom="paragraph">
                  <wp:posOffset>45085</wp:posOffset>
                </wp:positionV>
                <wp:extent cx="1443355" cy="497840"/>
                <wp:effectExtent l="0" t="0" r="4445" b="5080"/>
                <wp:wrapNone/>
                <wp:docPr id="13" name="Text Box 64"/>
                <wp:cNvGraphicFramePr/>
                <a:graphic xmlns:a="http://schemas.openxmlformats.org/drawingml/2006/main">
                  <a:graphicData uri="http://schemas.microsoft.com/office/word/2010/wordprocessingShape">
                    <wps:wsp>
                      <wps:cNvSpPr txBox="1">
                        <a:spLocks noChangeArrowheads="1"/>
                      </wps:cNvSpPr>
                      <wps:spPr bwMode="auto">
                        <a:xfrm>
                          <a:off x="0" y="0"/>
                          <a:ext cx="1443355" cy="497840"/>
                        </a:xfrm>
                        <a:prstGeom prst="rect">
                          <a:avLst/>
                        </a:prstGeom>
                        <a:solidFill>
                          <a:srgbClr val="FFFFFF"/>
                        </a:solidFill>
                        <a:ln w="9525">
                          <a:noFill/>
                          <a:miter lim="800000"/>
                        </a:ln>
                        <a:effectLst/>
                      </wps:spPr>
                      <wps:txbx>
                        <w:txbxContent>
                          <w:p w14:paraId="4CF77426">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●清洁生产</w:t>
                            </w:r>
                          </w:p>
                          <w:p w14:paraId="5D6531CD"/>
                        </w:txbxContent>
                      </wps:txbx>
                      <wps:bodyPr rot="0" vert="horz" wrap="square" lIns="91440" tIns="45720" rIns="91440" bIns="45720" anchor="t" anchorCtr="0" upright="1">
                        <a:noAutofit/>
                      </wps:bodyPr>
                    </wps:wsp>
                  </a:graphicData>
                </a:graphic>
              </wp:anchor>
            </w:drawing>
          </mc:Choice>
          <mc:Fallback>
            <w:pict>
              <v:shape id="Text Box 64" o:spid="_x0000_s1026" o:spt="202" type="#_x0000_t202" style="position:absolute;left:0pt;margin-left:-3.15pt;margin-top:3.55pt;height:39.2pt;width:113.65pt;z-index:251666432;mso-width-relative:page;mso-height-relative:page;" fillcolor="#FFFFFF" filled="t" stroked="f" coordsize="21600,21600" o:gfxdata="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QaJdvVAAAABwEAAA8AAAAAAAAAAQAgAAAAIgAAAGRycy9kb3ducmV2Lnht&#10;bFBLAQIUABQAAAAIAIdO4kBSD7SFNQIAAG0EAAAOAAAAAAAAAAEAIAAAACQBAABkcnMvZTJvRG9j&#10;LnhtbFBLBQYAAAAABgAGAFkBAADLBQAAAAA=&#10;">
                <v:fill on="t" focussize="0,0"/>
                <v:stroke on="f" miterlimit="8" joinstyle="miter"/>
                <v:imagedata o:title=""/>
                <o:lock v:ext="edit" aspectratio="f"/>
                <v:textbox>
                  <w:txbxContent>
                    <w:p w14:paraId="4CF77426">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●清洁生产</w:t>
                      </w:r>
                    </w:p>
                    <w:p w14:paraId="5D6531CD"/>
                  </w:txbxContent>
                </v:textbox>
              </v:shape>
            </w:pict>
          </mc:Fallback>
        </mc:AlternateContent>
      </w:r>
    </w:p>
    <w:p w14:paraId="53009580">
      <w:pPr>
        <w:pStyle w:val="30"/>
        <w:tabs>
          <w:tab w:val="left" w:pos="2749"/>
        </w:tabs>
        <w:rPr>
          <w:rFonts w:ascii="Times New Roman" w:hAnsi="Times New Roman" w:cs="Times New Roman" w:eastAsiaTheme="majorEastAsia"/>
          <w:highlight w:val="none"/>
        </w:rPr>
      </w:pPr>
    </w:p>
    <w:p w14:paraId="1F10876B">
      <w:pPr>
        <w:pStyle w:val="30"/>
        <w:tabs>
          <w:tab w:val="left" w:pos="2749"/>
        </w:tabs>
        <w:rPr>
          <w:rFonts w:ascii="Times New Roman" w:hAnsi="Times New Roman" w:cs="Times New Roman" w:eastAsiaTheme="majorEastAsia"/>
          <w:highlight w:val="none"/>
        </w:rPr>
      </w:pPr>
    </w:p>
    <w:p w14:paraId="39A3F0EC">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color w:val="FF0000"/>
          <w:highlight w:val="none"/>
        </w:rPr>
      </w:pPr>
    </w:p>
    <w:p w14:paraId="73A18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s="Times New Roman" w:eastAsiaTheme="majorEastAsia"/>
          <w:highlight w:val="none"/>
        </w:rPr>
      </w:pPr>
      <w:r>
        <w:rPr>
          <w:rFonts w:hint="eastAsia"/>
          <w:color w:val="auto"/>
          <w:highlight w:val="none"/>
          <w:lang w:eastAsia="zh-CN"/>
        </w:rPr>
        <w:t>智金</w:t>
      </w:r>
      <w:r>
        <w:rPr>
          <w:rFonts w:hint="eastAsia"/>
          <w:color w:val="auto"/>
          <w:highlight w:val="none"/>
          <w:lang w:val="en-US" w:eastAsia="zh-CN"/>
        </w:rPr>
        <w:t>将清洁生产理念</w:t>
      </w:r>
      <w:r>
        <w:rPr>
          <w:rFonts w:hint="eastAsia"/>
          <w:color w:val="auto"/>
          <w:highlight w:val="none"/>
        </w:rPr>
        <w:t>应用于生产过程、产品和服务中，以增加生态效益和减少人类及环境的风险</w:t>
      </w:r>
      <w:r>
        <w:rPr>
          <w:rFonts w:ascii="Times New Roman" w:hAnsi="Times New Roman"/>
          <w:color w:val="auto"/>
          <w:highlight w:val="none"/>
        </w:rPr>
        <w:t>。</w:t>
      </w:r>
      <w:r>
        <w:rPr>
          <w:rFonts w:hint="eastAsia" w:ascii="Times New Roman" w:hAnsi="Times New Roman"/>
          <w:color w:val="auto"/>
          <w:highlight w:val="none"/>
          <w:lang w:val="en-US" w:eastAsia="zh-CN"/>
        </w:rPr>
        <w:t>公司采用新能源电力，从</w:t>
      </w:r>
      <w:r>
        <w:rPr>
          <w:rFonts w:ascii="Times New Roman" w:hAnsi="Times New Roman"/>
          <w:color w:val="auto"/>
          <w:highlight w:val="none"/>
        </w:rPr>
        <w:t>生产源头控制资源能源的消耗以及污染物的产生</w:t>
      </w:r>
      <w:r>
        <w:rPr>
          <w:rFonts w:hint="eastAsia" w:ascii="Times New Roman" w:hAnsi="Times New Roman"/>
          <w:color w:val="auto"/>
          <w:highlight w:val="none"/>
          <w:lang w:eastAsia="zh-CN"/>
        </w:rPr>
        <w:t>，</w:t>
      </w:r>
      <w:r>
        <w:rPr>
          <w:rFonts w:ascii="Times New Roman" w:hAnsi="Times New Roman"/>
          <w:color w:val="auto"/>
          <w:highlight w:val="none"/>
        </w:rPr>
        <w:t>公司与品牌商、供应商共同开展产业链管理，进一步淘汰有害化学物质，寻找更环保的替代化学品，确保安全生产，避免对环境造成污染，生产安全健康的</w:t>
      </w:r>
      <w:r>
        <w:rPr>
          <w:rFonts w:hint="eastAsia" w:ascii="Times New Roman" w:hAnsi="Times New Roman"/>
          <w:color w:val="auto"/>
          <w:highlight w:val="none"/>
          <w:lang w:val="en-US" w:eastAsia="zh-CN"/>
        </w:rPr>
        <w:t>绿色</w:t>
      </w:r>
      <w:r>
        <w:rPr>
          <w:rFonts w:ascii="Times New Roman" w:hAnsi="Times New Roman"/>
          <w:highlight w:val="none"/>
        </w:rPr>
        <w:t>产品，引领环境保护与可持续发展的正能量。</w:t>
      </w:r>
    </w:p>
    <w:p w14:paraId="5C816D56">
      <w:pPr>
        <w:ind w:firstLine="420" w:firstLineChars="200"/>
        <w:jc w:val="left"/>
        <w:rPr>
          <w:rFonts w:ascii="Times New Roman" w:hAnsi="Times New Roman"/>
          <w:b/>
          <w:sz w:val="28"/>
          <w:szCs w:val="28"/>
          <w:highlight w:val="none"/>
        </w:rPr>
      </w:pPr>
      <w:r>
        <w:rPr>
          <w:rFonts w:ascii="Times New Roman" w:hAnsi="Times New Roman" w:eastAsia="楷体_GB2312"/>
          <w:highlight w:val="none"/>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234315</wp:posOffset>
                </wp:positionV>
                <wp:extent cx="1481455" cy="497840"/>
                <wp:effectExtent l="0" t="0" r="12065" b="5080"/>
                <wp:wrapNone/>
                <wp:docPr id="12" name="Text Box 58"/>
                <wp:cNvGraphicFramePr/>
                <a:graphic xmlns:a="http://schemas.openxmlformats.org/drawingml/2006/main">
                  <a:graphicData uri="http://schemas.microsoft.com/office/word/2010/wordprocessingShape">
                    <wps:wsp>
                      <wps:cNvSpPr txBox="1">
                        <a:spLocks noChangeArrowheads="1"/>
                      </wps:cNvSpPr>
                      <wps:spPr bwMode="auto">
                        <a:xfrm>
                          <a:off x="0" y="0"/>
                          <a:ext cx="1481455" cy="497840"/>
                        </a:xfrm>
                        <a:prstGeom prst="rect">
                          <a:avLst/>
                        </a:prstGeom>
                        <a:solidFill>
                          <a:srgbClr val="FFFFFF"/>
                        </a:solidFill>
                        <a:ln w="9525">
                          <a:noFill/>
                          <a:miter lim="800000"/>
                        </a:ln>
                        <a:effectLst/>
                      </wps:spPr>
                      <wps:txbx>
                        <w:txbxContent>
                          <w:p w14:paraId="709576EB">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●节能减排</w:t>
                            </w:r>
                          </w:p>
                        </w:txbxContent>
                      </wps:txbx>
                      <wps:bodyPr rot="0" vert="horz" wrap="square" lIns="91440" tIns="45720" rIns="91440" bIns="45720" anchor="t" anchorCtr="0" upright="1">
                        <a:noAutofit/>
                      </wps:bodyPr>
                    </wps:wsp>
                  </a:graphicData>
                </a:graphic>
              </wp:anchor>
            </w:drawing>
          </mc:Choice>
          <mc:Fallback>
            <w:pict>
              <v:shape id="Text Box 58" o:spid="_x0000_s1026" o:spt="202" type="#_x0000_t202" style="position:absolute;left:0pt;margin-left:3.4pt;margin-top:18.45pt;height:39.2pt;width:116.65pt;z-index:251665408;mso-width-relative:page;mso-height-relative:page;" fillcolor="#FFFFFF" filled="t" stroked="f" coordsize="21600,21600" o:gfxdata="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452C6tYAAAAIAQAADwAAAAAAAAABACAAAAAiAAAAZHJzL2Rvd25yZXYu&#10;eG1sUEsBAhQAFAAAAAgAh07iQP5tyNY2AgAAbQQAAA4AAAAAAAAAAQAgAAAAJQEAAGRycy9lMm9E&#10;b2MueG1sUEsFBgAAAAAGAAYAWQEAAM0FAAAAAA==&#10;">
                <v:fill on="t" focussize="0,0"/>
                <v:stroke on="f" miterlimit="8" joinstyle="miter"/>
                <v:imagedata o:title=""/>
                <o:lock v:ext="edit" aspectratio="f"/>
                <v:textbox>
                  <w:txbxContent>
                    <w:p w14:paraId="709576EB">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●节能减排</w:t>
                      </w:r>
                    </w:p>
                  </w:txbxContent>
                </v:textbox>
              </v:shape>
            </w:pict>
          </mc:Fallback>
        </mc:AlternateContent>
      </w:r>
    </w:p>
    <w:p w14:paraId="581E9402">
      <w:pPr>
        <w:rPr>
          <w:rFonts w:ascii="Times New Roman" w:hAnsi="Times New Roman"/>
          <w:b/>
          <w:sz w:val="28"/>
          <w:szCs w:val="28"/>
          <w:highlight w:val="none"/>
        </w:rPr>
      </w:pPr>
    </w:p>
    <w:p w14:paraId="24D68A9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olor w:val="000000" w:themeColor="text1"/>
          <w:highlight w:val="none"/>
          <w14:textFill>
            <w14:solidFill>
              <w14:schemeClr w14:val="tx1"/>
            </w14:solidFill>
          </w14:textFill>
        </w:rPr>
      </w:pPr>
    </w:p>
    <w:p w14:paraId="77B0A85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imes New Roman" w:hAnsi="Times New Roman"/>
          <w:color w:val="auto"/>
          <w:highlight w:val="none"/>
        </w:rPr>
      </w:pPr>
      <w:r>
        <w:rPr>
          <w:rFonts w:hint="eastAsia" w:ascii="Times New Roman" w:hAnsi="Times New Roman"/>
          <w:color w:val="auto"/>
          <w:highlight w:val="none"/>
          <w:lang w:eastAsia="zh-CN"/>
        </w:rPr>
        <w:t>2024年</w:t>
      </w:r>
      <w:r>
        <w:rPr>
          <w:rFonts w:hint="eastAsia" w:ascii="Times New Roman" w:hAnsi="Times New Roman"/>
          <w:color w:val="auto"/>
          <w:highlight w:val="none"/>
        </w:rPr>
        <w:t>，</w:t>
      </w:r>
      <w:r>
        <w:rPr>
          <w:rFonts w:hint="eastAsia" w:ascii="Times New Roman" w:hAnsi="Times New Roman"/>
          <w:color w:val="auto"/>
          <w:highlight w:val="none"/>
          <w:lang w:eastAsia="zh-CN"/>
        </w:rPr>
        <w:t>智金</w:t>
      </w:r>
      <w:r>
        <w:rPr>
          <w:rFonts w:hint="eastAsia" w:ascii="Times New Roman" w:hAnsi="Times New Roman"/>
          <w:color w:val="auto"/>
          <w:highlight w:val="none"/>
        </w:rPr>
        <w:t>装置了一批节能设备</w:t>
      </w:r>
      <w:r>
        <w:rPr>
          <w:rFonts w:ascii="Times New Roman" w:hAnsi="Times New Roman"/>
          <w:color w:val="auto"/>
          <w:highlight w:val="none"/>
        </w:rPr>
        <w:t>，</w:t>
      </w:r>
      <w:r>
        <w:rPr>
          <w:rFonts w:hint="eastAsia" w:ascii="Times New Roman" w:hAnsi="Times New Roman"/>
          <w:color w:val="auto"/>
          <w:highlight w:val="none"/>
        </w:rPr>
        <w:t>置换了一批灯具，采购了节能水龙头、感应装置、LED节能灯，进一步减少了</w:t>
      </w:r>
      <w:r>
        <w:rPr>
          <w:rFonts w:hint="eastAsia" w:ascii="Times New Roman" w:hAnsi="Times New Roman"/>
          <w:color w:val="auto"/>
          <w:highlight w:val="none"/>
          <w:lang w:val="en-US" w:eastAsia="zh-CN"/>
        </w:rPr>
        <w:t>能源</w:t>
      </w:r>
      <w:r>
        <w:rPr>
          <w:rFonts w:hint="eastAsia" w:ascii="Times New Roman" w:hAnsi="Times New Roman"/>
          <w:color w:val="auto"/>
          <w:highlight w:val="none"/>
        </w:rPr>
        <w:t>成本。</w:t>
      </w:r>
    </w:p>
    <w:p w14:paraId="1413384E">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olor w:val="000000" w:themeColor="text1"/>
          <w:highlight w:val="none"/>
          <w14:textFill>
            <w14:solidFill>
              <w14:schemeClr w14:val="tx1"/>
            </w14:solidFill>
          </w14:textFill>
        </w:rPr>
      </w:pPr>
    </w:p>
    <w:p w14:paraId="6DC2981E">
      <w:pPr>
        <w:jc w:val="left"/>
        <w:rPr>
          <w:rFonts w:ascii="Times New Roman" w:hAnsi="Times New Roman" w:eastAsia="楷体_GB2312"/>
          <w:highlight w:val="none"/>
        </w:rPr>
      </w:pPr>
      <w:r>
        <w:rPr>
          <w:rFonts w:ascii="Times New Roman" w:hAnsi="Times New Roman" w:eastAsia="楷体_GB2312"/>
          <w:highlight w:val="none"/>
        </w:rPr>
        <mc:AlternateContent>
          <mc:Choice Requires="wps">
            <w:drawing>
              <wp:anchor distT="0" distB="0" distL="114300" distR="114300" simplePos="0" relativeHeight="251668480" behindDoc="0" locked="0" layoutInCell="1" allowOverlap="1">
                <wp:simplePos x="0" y="0"/>
                <wp:positionH relativeFrom="column">
                  <wp:posOffset>20320</wp:posOffset>
                </wp:positionH>
                <wp:positionV relativeFrom="paragraph">
                  <wp:posOffset>49530</wp:posOffset>
                </wp:positionV>
                <wp:extent cx="1620520" cy="497840"/>
                <wp:effectExtent l="0" t="0" r="10160" b="5080"/>
                <wp:wrapNone/>
                <wp:docPr id="68" name="Text Box 58"/>
                <wp:cNvGraphicFramePr/>
                <a:graphic xmlns:a="http://schemas.openxmlformats.org/drawingml/2006/main">
                  <a:graphicData uri="http://schemas.microsoft.com/office/word/2010/wordprocessingShape">
                    <wps:wsp>
                      <wps:cNvSpPr txBox="1">
                        <a:spLocks noChangeArrowheads="1"/>
                      </wps:cNvSpPr>
                      <wps:spPr bwMode="auto">
                        <a:xfrm>
                          <a:off x="0" y="0"/>
                          <a:ext cx="1620520" cy="497840"/>
                        </a:xfrm>
                        <a:prstGeom prst="rect">
                          <a:avLst/>
                        </a:prstGeom>
                        <a:solidFill>
                          <a:srgbClr val="FFFFFF"/>
                        </a:solidFill>
                        <a:ln w="9525">
                          <a:noFill/>
                          <a:miter lim="800000"/>
                        </a:ln>
                        <a:effectLst/>
                      </wps:spPr>
                      <wps:txbx>
                        <w:txbxContent>
                          <w:p w14:paraId="01B4E325">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●环境责任</w:t>
                            </w:r>
                          </w:p>
                        </w:txbxContent>
                      </wps:txbx>
                      <wps:bodyPr rot="0" vert="horz" wrap="square" lIns="91440" tIns="45720" rIns="91440" bIns="45720" anchor="t" anchorCtr="0" upright="1">
                        <a:noAutofit/>
                      </wps:bodyPr>
                    </wps:wsp>
                  </a:graphicData>
                </a:graphic>
              </wp:anchor>
            </w:drawing>
          </mc:Choice>
          <mc:Fallback>
            <w:pict>
              <v:shape id="Text Box 58" o:spid="_x0000_s1026" o:spt="202" type="#_x0000_t202" style="position:absolute;left:0pt;margin-left:1.6pt;margin-top:3.9pt;height:39.2pt;width:127.6pt;z-index:251668480;mso-width-relative:page;mso-height-relative:page;" fillcolor="#FFFFFF" filled="t" stroked="f" coordsize="21600,21600" o:gfxdata="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CtOs8PUAAAABgEAAA8AAAAAAAAAAQAgAAAAIgAAAGRycy9kb3ducmV2Lnht&#10;bFBLAQIUABQAAAAIAIdO4kAAFCTANgIAAG0EAAAOAAAAAAAAAAEAIAAAACMBAABkcnMvZTJvRG9j&#10;LnhtbFBLBQYAAAAABgAGAFkBAADLBQAAAAA=&#10;">
                <v:fill on="t" focussize="0,0"/>
                <v:stroke on="f" miterlimit="8" joinstyle="miter"/>
                <v:imagedata o:title=""/>
                <o:lock v:ext="edit" aspectratio="f"/>
                <v:textbox>
                  <w:txbxContent>
                    <w:p w14:paraId="01B4E325">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●环境责任</w:t>
                      </w:r>
                    </w:p>
                  </w:txbxContent>
                </v:textbox>
              </v:shape>
            </w:pict>
          </mc:Fallback>
        </mc:AlternateContent>
      </w:r>
    </w:p>
    <w:p w14:paraId="786A6ABA">
      <w:pPr>
        <w:jc w:val="left"/>
        <w:rPr>
          <w:rFonts w:ascii="Times New Roman" w:hAnsi="Times New Roman" w:eastAsia="楷体_GB2312"/>
          <w:highlight w:val="none"/>
        </w:rPr>
      </w:pPr>
    </w:p>
    <w:p w14:paraId="504867B7">
      <w:pPr>
        <w:jc w:val="left"/>
        <w:rPr>
          <w:rFonts w:ascii="Times New Roman" w:hAnsi="Times New Roman" w:eastAsia="楷体_GB2312"/>
          <w:highlight w:val="none"/>
        </w:rPr>
      </w:pPr>
    </w:p>
    <w:p w14:paraId="3F37BDB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color w:val="auto"/>
          <w:highlight w:val="none"/>
        </w:rPr>
      </w:pPr>
    </w:p>
    <w:p w14:paraId="02F73EB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hint="eastAsia" w:ascii="Times New Roman" w:hAnsi="Times New Roman"/>
          <w:color w:val="auto"/>
          <w:highlight w:val="none"/>
          <w:lang w:eastAsia="zh-CN"/>
        </w:rPr>
        <w:t>智金</w:t>
      </w:r>
      <w:r>
        <w:rPr>
          <w:rFonts w:ascii="Times New Roman" w:hAnsi="Times New Roman"/>
          <w:color w:val="auto"/>
          <w:highlight w:val="none"/>
        </w:rPr>
        <w:t>致力于在</w:t>
      </w:r>
      <w:r>
        <w:rPr>
          <w:rFonts w:ascii="Times New Roman" w:hAnsi="Times New Roman"/>
          <w:highlight w:val="none"/>
        </w:rPr>
        <w:t>未来引领纺织产业循环经济建设。以ISO14001环境体系为基础，通过提升管理水平、改进生产工艺、优化治理技术，进一步减少对资源、能源和化学品的消耗，进一步减少对环境的影响，与各相关方合作，建立一种环境友好的企业模型。</w:t>
      </w:r>
    </w:p>
    <w:p w14:paraId="33F8FC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0"/>
          <w:sz w:val="21"/>
          <w:szCs w:val="21"/>
          <w:u w:val="none"/>
          <w:lang w:val="en-US" w:eastAsia="zh-CN" w:bidi="ar"/>
        </w:rPr>
      </w:pPr>
      <w:r>
        <w:rPr>
          <w:rFonts w:hint="eastAsia" w:ascii="Times New Roman" w:hAnsi="Times New Roman"/>
          <w:color w:val="auto"/>
          <w:highlight w:val="none"/>
          <w:lang w:eastAsia="zh-CN"/>
        </w:rPr>
        <w:t>智金</w:t>
      </w:r>
      <w:r>
        <w:rPr>
          <w:rFonts w:hint="eastAsia" w:ascii="Times New Roman" w:hAnsi="Times New Roman"/>
          <w:color w:val="auto"/>
          <w:highlight w:val="none"/>
        </w:rPr>
        <w:t>依照国际标准ISO 14064-1:2018《温室气体 第一部分 组织层次上对温室气体排放和清除的量化和报告的规范及指南》，对各工厂进行温室气体排放量化，在</w:t>
      </w:r>
      <w:r>
        <w:rPr>
          <w:rFonts w:hint="eastAsia" w:ascii="Times New Roman" w:hAnsi="Times New Roman"/>
          <w:color w:val="auto"/>
          <w:highlight w:val="none"/>
          <w:lang w:eastAsia="zh-CN"/>
        </w:rPr>
        <w:t>2024年</w:t>
      </w:r>
      <w:r>
        <w:rPr>
          <w:rFonts w:hint="eastAsia" w:ascii="Times New Roman" w:hAnsi="Times New Roman"/>
          <w:color w:val="auto"/>
          <w:highlight w:val="none"/>
        </w:rPr>
        <w:t>1月1日至</w:t>
      </w:r>
      <w:r>
        <w:rPr>
          <w:rFonts w:hint="eastAsia" w:ascii="Times New Roman" w:hAnsi="Times New Roman"/>
          <w:color w:val="auto"/>
          <w:highlight w:val="none"/>
          <w:lang w:eastAsia="zh-CN"/>
        </w:rPr>
        <w:t>2024年</w:t>
      </w:r>
      <w:r>
        <w:rPr>
          <w:rFonts w:hint="eastAsia" w:ascii="Times New Roman" w:hAnsi="Times New Roman"/>
          <w:color w:val="auto"/>
          <w:highlight w:val="none"/>
        </w:rPr>
        <w:t>12月31日的温室气体排放总量为</w:t>
      </w:r>
      <w:r>
        <w:rPr>
          <w:rFonts w:hint="eastAsia" w:ascii="Times New Roman" w:hAnsi="Times New Roman"/>
          <w:color w:val="auto"/>
          <w:highlight w:val="none"/>
          <w:lang w:val="en-US" w:eastAsia="zh-CN"/>
        </w:rPr>
        <w:t>5682.79</w:t>
      </w:r>
      <w:r>
        <w:rPr>
          <w:rFonts w:hint="eastAsia" w:ascii="Times New Roman" w:hAnsi="Times New Roman"/>
          <w:color w:val="auto"/>
          <w:highlight w:val="none"/>
        </w:rPr>
        <w:t>吨二氧化碳当量，其中直接温室气体排放量及移除量为</w:t>
      </w:r>
      <w:r>
        <w:rPr>
          <w:rFonts w:hint="eastAsia" w:ascii="宋体" w:hAnsi="宋体" w:cs="宋体"/>
          <w:color w:val="auto"/>
          <w:sz w:val="21"/>
          <w:szCs w:val="21"/>
          <w:highlight w:val="none"/>
          <w:lang w:val="en-US" w:eastAsia="zh-CN"/>
        </w:rPr>
        <w:t>28.74</w:t>
      </w:r>
      <w:r>
        <w:rPr>
          <w:rFonts w:hint="eastAsia" w:ascii="宋体" w:hAnsi="宋体" w:eastAsia="宋体" w:cs="宋体"/>
          <w:color w:val="auto"/>
          <w:sz w:val="21"/>
          <w:szCs w:val="21"/>
          <w:highlight w:val="none"/>
        </w:rPr>
        <w:t>吨二氧化碳当量，间接温室气体排放量为</w:t>
      </w:r>
      <w:r>
        <w:rPr>
          <w:rFonts w:hint="eastAsia" w:ascii="Times New Roman" w:hAnsi="Times New Roman"/>
          <w:color w:val="auto"/>
          <w:highlight w:val="none"/>
          <w:lang w:val="en-US" w:eastAsia="zh-CN"/>
        </w:rPr>
        <w:t>5654.05</w:t>
      </w:r>
      <w:r>
        <w:rPr>
          <w:rFonts w:hint="eastAsia" w:ascii="宋体" w:hAnsi="宋体" w:eastAsia="宋体" w:cs="宋体"/>
          <w:color w:val="auto"/>
          <w:sz w:val="21"/>
          <w:szCs w:val="21"/>
          <w:highlight w:val="none"/>
        </w:rPr>
        <w:t>吨二氧化碳当量</w:t>
      </w:r>
      <w:r>
        <w:rPr>
          <w:rFonts w:hint="eastAsia" w:ascii="宋体" w:hAnsi="宋体" w:eastAsia="宋体" w:cs="宋体"/>
          <w:b w:val="0"/>
          <w:bCs w:val="0"/>
          <w:i w:val="0"/>
          <w:iCs w:val="0"/>
          <w:color w:val="auto"/>
          <w:kern w:val="0"/>
          <w:sz w:val="21"/>
          <w:szCs w:val="21"/>
          <w:u w:val="none"/>
          <w:lang w:val="en-US" w:eastAsia="zh-CN" w:bidi="ar"/>
        </w:rPr>
        <w:t>。</w:t>
      </w:r>
      <w:r>
        <w:rPr>
          <w:rFonts w:hint="eastAsia" w:ascii="宋体" w:hAnsi="宋体" w:cs="宋体"/>
          <w:b w:val="0"/>
          <w:bCs w:val="0"/>
          <w:i w:val="0"/>
          <w:iCs w:val="0"/>
          <w:color w:val="auto"/>
          <w:kern w:val="0"/>
          <w:sz w:val="21"/>
          <w:szCs w:val="21"/>
          <w:u w:val="none"/>
          <w:lang w:val="en-US" w:eastAsia="zh-CN" w:bidi="ar"/>
        </w:rPr>
        <w:t>智金积极</w:t>
      </w:r>
      <w:r>
        <w:rPr>
          <w:rFonts w:hint="eastAsia" w:ascii="宋体" w:hAnsi="宋体" w:eastAsia="宋体" w:cs="宋体"/>
          <w:b w:val="0"/>
          <w:bCs w:val="0"/>
          <w:i w:val="0"/>
          <w:iCs w:val="0"/>
          <w:color w:val="auto"/>
          <w:kern w:val="0"/>
          <w:sz w:val="21"/>
          <w:szCs w:val="21"/>
          <w:u w:val="none"/>
          <w:lang w:val="en-US" w:eastAsia="zh-CN" w:bidi="ar"/>
        </w:rPr>
        <w:t>采取节能减排措施，减少温室气体排放，促进绿色发展，共建生态文明</w:t>
      </w:r>
      <w:r>
        <w:rPr>
          <w:rFonts w:hint="eastAsia" w:ascii="宋体" w:hAnsi="宋体" w:cs="宋体"/>
          <w:b w:val="0"/>
          <w:bCs w:val="0"/>
          <w:i w:val="0"/>
          <w:iCs w:val="0"/>
          <w:color w:val="auto"/>
          <w:kern w:val="0"/>
          <w:sz w:val="21"/>
          <w:szCs w:val="21"/>
          <w:u w:val="none"/>
          <w:lang w:val="en-US" w:eastAsia="zh-CN" w:bidi="ar"/>
        </w:rPr>
        <w:t>，在温室气体减量方面，</w:t>
      </w:r>
      <w:r>
        <w:rPr>
          <w:rFonts w:hint="eastAsia" w:ascii="宋体" w:hAnsi="宋体" w:eastAsia="宋体" w:cs="宋体"/>
          <w:b w:val="0"/>
          <w:bCs w:val="0"/>
          <w:i w:val="0"/>
          <w:iCs w:val="0"/>
          <w:color w:val="auto"/>
          <w:kern w:val="0"/>
          <w:sz w:val="21"/>
          <w:szCs w:val="21"/>
          <w:u w:val="none"/>
          <w:lang w:val="en-US" w:eastAsia="zh-CN" w:bidi="ar"/>
        </w:rPr>
        <w:t>公司将致力于：</w:t>
      </w:r>
    </w:p>
    <w:p w14:paraId="258464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1）推动节约能源活动，降低电力使用（如进行节能改造或新技术的运用）；</w:t>
      </w:r>
    </w:p>
    <w:p w14:paraId="26D4DA2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2）加强设备维修保养，减少设备不正常运行，提升设备运作效率，降低能源损耗（如设备定期保养，设备及时更新等）；</w:t>
      </w:r>
    </w:p>
    <w:p w14:paraId="2EE8A4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3）使用节能设备，降低能源使用（如使用节能灯具、变频设备等）；</w:t>
      </w:r>
    </w:p>
    <w:p w14:paraId="0AB3920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4）采用绿色电力，降低碳排放；</w:t>
      </w:r>
    </w:p>
    <w:p w14:paraId="543C10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b w:val="0"/>
          <w:bCs w:val="0"/>
          <w:i w:val="0"/>
          <w:iCs w:val="0"/>
          <w:color w:val="auto"/>
          <w:kern w:val="0"/>
          <w:sz w:val="21"/>
          <w:szCs w:val="21"/>
          <w:u w:val="none"/>
          <w:lang w:val="en-US" w:eastAsia="zh-CN" w:bidi="ar"/>
        </w:rPr>
        <w:t>（</w:t>
      </w:r>
      <w:r>
        <w:rPr>
          <w:rFonts w:hint="eastAsia" w:ascii="宋体" w:hAnsi="宋体" w:eastAsia="宋体" w:cs="宋体"/>
          <w:b w:val="0"/>
          <w:bCs w:val="0"/>
          <w:i w:val="0"/>
          <w:iCs w:val="0"/>
          <w:color w:val="auto"/>
          <w:kern w:val="0"/>
          <w:sz w:val="21"/>
          <w:szCs w:val="21"/>
          <w:u w:val="none"/>
          <w:lang w:val="en-US" w:eastAsia="zh-CN" w:bidi="ar"/>
        </w:rPr>
        <w:t>5）优化供应链低碳管理，把供应商低碳绩效纳入供应商评估过程中，必要时，可选用碳排放强度较低的原材料。</w:t>
      </w:r>
    </w:p>
    <w:p w14:paraId="5F232965">
      <w:pPr>
        <w:ind w:firstLine="420" w:firstLineChars="200"/>
        <w:rPr>
          <w:rFonts w:ascii="Times New Roman" w:hAnsi="Times New Roman" w:eastAsia="楷体_GB2312"/>
          <w:highlight w:val="none"/>
        </w:rPr>
      </w:pPr>
      <w:r>
        <w:rPr>
          <w:rFonts w:ascii="Times New Roman" w:hAnsi="Times New Roman"/>
          <w:highlight w:val="none"/>
        </w:rPr>
        <mc:AlternateContent>
          <mc:Choice Requires="wps">
            <w:drawing>
              <wp:inline distT="0" distB="0" distL="114300" distR="114300">
                <wp:extent cx="2087245" cy="497840"/>
                <wp:effectExtent l="0" t="0" r="635" b="5080"/>
                <wp:docPr id="11" name="Text Box 60"/>
                <wp:cNvGraphicFramePr/>
                <a:graphic xmlns:a="http://schemas.openxmlformats.org/drawingml/2006/main">
                  <a:graphicData uri="http://schemas.microsoft.com/office/word/2010/wordprocessingShape">
                    <wps:wsp>
                      <wps:cNvSpPr txBox="1">
                        <a:spLocks noChangeArrowheads="1"/>
                      </wps:cNvSpPr>
                      <wps:spPr bwMode="auto">
                        <a:xfrm>
                          <a:off x="0" y="0"/>
                          <a:ext cx="2087245" cy="497840"/>
                        </a:xfrm>
                        <a:prstGeom prst="rect">
                          <a:avLst/>
                        </a:prstGeom>
                        <a:solidFill>
                          <a:srgbClr val="FFFFFF"/>
                        </a:solidFill>
                        <a:ln w="9525">
                          <a:noFill/>
                          <a:miter lim="800000"/>
                        </a:ln>
                        <a:effectLst/>
                      </wps:spPr>
                      <wps:txbx>
                        <w:txbxContent>
                          <w:p w14:paraId="6940BCDD">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●打造绿色供应链</w:t>
                            </w:r>
                          </w:p>
                          <w:p w14:paraId="21C1AED9"/>
                        </w:txbxContent>
                      </wps:txbx>
                      <wps:bodyPr rot="0" vert="horz" wrap="square" lIns="91440" tIns="45720" rIns="91440" bIns="45720" anchor="t" anchorCtr="0" upright="1">
                        <a:noAutofit/>
                      </wps:bodyPr>
                    </wps:wsp>
                  </a:graphicData>
                </a:graphic>
              </wp:inline>
            </w:drawing>
          </mc:Choice>
          <mc:Fallback>
            <w:pict>
              <v:shape id="Text Box 60" o:spid="_x0000_s1026" o:spt="202" type="#_x0000_t202" style="height:39.2pt;width:164.35pt;" fillcolor="#FFFFFF" filled="t" stroked="f" coordsize="21600,21600" o:gfxdata="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BnSMfUAAAABAEAAA8AAAAAAAAAAQAgAAAAIgAAAGRycy9kb3ducmV2Lnht&#10;bFBLAQIUABQAAAAIAIdO4kC29CBQNgIAAG0EAAAOAAAAAAAAAAEAIAAAACMBAABkcnMvZTJvRG9j&#10;LnhtbFBLBQYAAAAABgAGAFkBAADLBQAAAAA=&#10;">
                <v:fill on="t" focussize="0,0"/>
                <v:stroke on="f" miterlimit="8" joinstyle="miter"/>
                <v:imagedata o:title=""/>
                <o:lock v:ext="edit" aspectratio="f"/>
                <v:textbox>
                  <w:txbxContent>
                    <w:p w14:paraId="6940BCDD">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●打造绿色供应链</w:t>
                      </w:r>
                    </w:p>
                    <w:p w14:paraId="21C1AED9"/>
                  </w:txbxContent>
                </v:textbox>
                <w10:wrap type="none"/>
                <w10:anchorlock/>
              </v:shape>
            </w:pict>
          </mc:Fallback>
        </mc:AlternateContent>
      </w:r>
    </w:p>
    <w:p w14:paraId="24A718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color w:val="auto"/>
          <w:highlight w:val="none"/>
        </w:rPr>
      </w:pPr>
      <w:r>
        <w:rPr>
          <w:rFonts w:hint="eastAsia" w:ascii="Times New Roman" w:hAnsi="Times New Roman"/>
          <w:color w:val="auto"/>
          <w:highlight w:val="none"/>
          <w:lang w:val="en-US" w:eastAsia="zh-CN"/>
        </w:rPr>
        <w:t>公司将绿色制造、产品生命周期管理和生产者责任延伸融入到内部业务流程中，环境保护和资源节约的理念贯穿于公司从产品设计到原材料采购、生产、运输、储存、销售、使用和报废处理的全过程，使公司的经济活动与环境保护相协调的上下游供应关系。公司在采购活动中，推广绿色低碳理念，采购节能高效设备，绿色电力和绿色原材料。</w:t>
      </w:r>
      <w:r>
        <w:rPr>
          <w:rFonts w:ascii="Times New Roman" w:hAnsi="Times New Roman"/>
          <w:color w:val="auto"/>
          <w:highlight w:val="none"/>
        </w:rPr>
        <w:t>公司大力支持各类</w:t>
      </w:r>
      <w:r>
        <w:rPr>
          <w:rFonts w:hint="eastAsia" w:ascii="Times New Roman" w:hAnsi="Times New Roman"/>
          <w:color w:val="auto"/>
          <w:highlight w:val="none"/>
        </w:rPr>
        <w:t>再生产品</w:t>
      </w:r>
      <w:r>
        <w:rPr>
          <w:rFonts w:ascii="Times New Roman" w:hAnsi="Times New Roman"/>
          <w:color w:val="auto"/>
          <w:highlight w:val="none"/>
        </w:rPr>
        <w:t>，积极参加各种活动。</w:t>
      </w:r>
    </w:p>
    <w:p w14:paraId="45A7B1D7">
      <w:pPr>
        <w:ind w:firstLine="420" w:firstLineChars="200"/>
        <w:rPr>
          <w:rFonts w:ascii="Times New Roman" w:hAnsi="Times New Roman"/>
          <w:highlight w:val="none"/>
        </w:rPr>
      </w:pPr>
    </w:p>
    <w:p w14:paraId="3027019E">
      <w:pPr>
        <w:ind w:firstLine="420" w:firstLineChars="200"/>
        <w:rPr>
          <w:rFonts w:ascii="Times New Roman" w:hAnsi="Times New Roman"/>
          <w:highlight w:val="none"/>
        </w:rPr>
        <w:sectPr>
          <w:pgSz w:w="11906" w:h="16838"/>
          <w:pgMar w:top="1440" w:right="1800" w:bottom="1440" w:left="1800" w:header="851" w:footer="992" w:gutter="0"/>
          <w:pgNumType w:fmt="decimal"/>
          <w:cols w:space="425" w:num="1"/>
          <w:docGrid w:type="lines" w:linePitch="312" w:charSpace="0"/>
        </w:sectPr>
      </w:pPr>
    </w:p>
    <w:p w14:paraId="155C81C1">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hint="default" w:ascii="Times New Roman" w:hAnsi="Times New Roman" w:eastAsiaTheme="minorEastAsia"/>
          <w:b/>
          <w:sz w:val="36"/>
          <w:szCs w:val="36"/>
          <w:highlight w:val="none"/>
          <w:lang w:val="en-US" w:eastAsia="zh-CN"/>
        </w:rPr>
      </w:pPr>
      <w:r>
        <w:rPr>
          <w:rFonts w:ascii="Times New Roman" w:hAnsi="Times New Roman" w:eastAsiaTheme="minorEastAsia"/>
          <w:b/>
          <w:sz w:val="36"/>
          <w:szCs w:val="36"/>
          <w:highlight w:val="none"/>
        </w:rPr>
        <w:t>第三篇：</w:t>
      </w:r>
      <w:r>
        <w:rPr>
          <w:rFonts w:hint="eastAsia" w:ascii="Times New Roman" w:hAnsi="Times New Roman" w:eastAsiaTheme="minorEastAsia"/>
          <w:b/>
          <w:sz w:val="36"/>
          <w:szCs w:val="36"/>
          <w:highlight w:val="none"/>
          <w:lang w:val="en-US" w:eastAsia="zh-CN"/>
        </w:rPr>
        <w:t xml:space="preserve">包容关爱 与社会同行 </w:t>
      </w:r>
    </w:p>
    <w:p w14:paraId="793C28A5">
      <w:pPr>
        <w:rPr>
          <w:rFonts w:ascii="Times New Roman" w:hAnsi="Times New Roman"/>
          <w:b/>
          <w:sz w:val="28"/>
          <w:szCs w:val="28"/>
          <w:highlight w:val="none"/>
        </w:rPr>
      </w:pPr>
      <w:r>
        <w:rPr>
          <w:rFonts w:ascii="Times New Roman" w:hAnsi="Times New Roman"/>
          <w:b/>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217805</wp:posOffset>
                </wp:positionV>
                <wp:extent cx="1269365" cy="497205"/>
                <wp:effectExtent l="0" t="0" r="10795" b="5715"/>
                <wp:wrapNone/>
                <wp:docPr id="9" name="Text Box 29"/>
                <wp:cNvGraphicFramePr/>
                <a:graphic xmlns:a="http://schemas.openxmlformats.org/drawingml/2006/main">
                  <a:graphicData uri="http://schemas.microsoft.com/office/word/2010/wordprocessingShape">
                    <wps:wsp>
                      <wps:cNvSpPr txBox="1">
                        <a:spLocks noChangeArrowheads="1"/>
                      </wps:cNvSpPr>
                      <wps:spPr bwMode="auto">
                        <a:xfrm>
                          <a:off x="0" y="0"/>
                          <a:ext cx="1269365" cy="497205"/>
                        </a:xfrm>
                        <a:prstGeom prst="rect">
                          <a:avLst/>
                        </a:prstGeom>
                        <a:solidFill>
                          <a:srgbClr val="FFFFFF"/>
                        </a:solidFill>
                        <a:ln w="9525">
                          <a:noFill/>
                          <a:miter lim="800000"/>
                        </a:ln>
                        <a:effectLst/>
                      </wps:spPr>
                      <wps:txbx>
                        <w:txbxContent>
                          <w:p w14:paraId="41BFC567">
                            <w:pPr>
                              <w:rPr>
                                <w:rFonts w:hint="default"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员工福祉</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9" o:spid="_x0000_s1026" o:spt="202" type="#_x0000_t202" style="position:absolute;left:0pt;margin-left:1.35pt;margin-top:17.15pt;height:39.15pt;width:99.95pt;z-index:251662336;mso-width-relative:page;mso-height-relative:margin;mso-height-percent:200;" fillcolor="#FFFFFF" filled="t" stroked="f" coordsize="21600,21600" o:gfxdata="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9Xys3VAAAACAEAAA8AAAAAAAAAAQAgAAAAIgAAAGRycy9kb3ducmV2Lnht&#10;bFBLAQIUABQAAAAIAIdO4kBTqYQXNQIAAGwEAAAOAAAAAAAAAAEAIAAAACQBAABkcnMvZTJvRG9j&#10;LnhtbFBLBQYAAAAABgAGAFkBAADLBQAAAAA=&#10;">
                <v:fill on="t" focussize="0,0"/>
                <v:stroke on="f" miterlimit="8" joinstyle="miter"/>
                <v:imagedata o:title=""/>
                <o:lock v:ext="edit" aspectratio="f"/>
                <v:textbox style="mso-fit-shape-to-text:t;">
                  <w:txbxContent>
                    <w:p w14:paraId="41BFC567">
                      <w:pPr>
                        <w:rPr>
                          <w:rFonts w:hint="default"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员工福祉</w:t>
                      </w:r>
                    </w:p>
                  </w:txbxContent>
                </v:textbox>
              </v:shape>
            </w:pict>
          </mc:Fallback>
        </mc:AlternateContent>
      </w:r>
    </w:p>
    <w:p w14:paraId="2D2F8FA1">
      <w:pPr>
        <w:rPr>
          <w:rFonts w:ascii="Times New Roman" w:hAnsi="Times New Roman"/>
          <w:b/>
          <w:sz w:val="28"/>
          <w:szCs w:val="28"/>
          <w:highlight w:val="none"/>
        </w:rPr>
      </w:pPr>
    </w:p>
    <w:p w14:paraId="1EAC118E">
      <w:pPr>
        <w:spacing w:beforeLines="50" w:afterLines="50"/>
        <w:outlineLvl w:val="0"/>
        <w:rPr>
          <w:rFonts w:hint="eastAsia" w:ascii="Times New Roman" w:hAnsi="Times New Roman"/>
          <w:b/>
          <w:sz w:val="24"/>
          <w:szCs w:val="24"/>
          <w:highlight w:val="none"/>
          <w:lang w:val="en-US" w:eastAsia="zh-CN"/>
        </w:rPr>
      </w:pPr>
      <w:r>
        <w:rPr>
          <w:rFonts w:hint="eastAsia" w:ascii="宋体" w:hAnsi="宋体" w:cs="宋体"/>
          <w:b/>
          <w:sz w:val="24"/>
          <w:szCs w:val="24"/>
          <w:highlight w:val="none"/>
        </w:rPr>
        <w:t>◎</w:t>
      </w:r>
      <w:r>
        <w:rPr>
          <w:rFonts w:hint="eastAsia" w:ascii="Times New Roman" w:hAnsi="Times New Roman"/>
          <w:b/>
          <w:sz w:val="24"/>
          <w:szCs w:val="24"/>
          <w:highlight w:val="none"/>
          <w:lang w:val="en-US" w:eastAsia="zh-CN"/>
        </w:rPr>
        <w:t>合规雇佣</w:t>
      </w:r>
    </w:p>
    <w:p w14:paraId="1EF5E96F">
      <w:pPr>
        <w:keepNext w:val="0"/>
        <w:keepLines w:val="0"/>
        <w:pageBreakBefore w:val="0"/>
        <w:widowControl/>
        <w:kinsoku/>
        <w:wordWrap/>
        <w:overflowPunct/>
        <w:topLinePunct w:val="0"/>
        <w:autoSpaceDE/>
        <w:autoSpaceDN/>
        <w:bidi w:val="0"/>
        <w:snapToGrid/>
        <w:spacing w:line="360" w:lineRule="auto"/>
        <w:ind w:firstLine="420" w:firstLineChars="200"/>
        <w:jc w:val="left"/>
        <w:textAlignment w:val="auto"/>
        <w:rPr>
          <w:rFonts w:hint="default" w:ascii="Times New Roman" w:hAnsi="Times New Roman"/>
          <w:kern w:val="0"/>
          <w:szCs w:val="21"/>
          <w:highlight w:val="none"/>
          <w:lang w:val="en-US" w:eastAsia="zh-CN"/>
        </w:rPr>
      </w:pPr>
      <w:r>
        <w:rPr>
          <w:rFonts w:hint="default" w:ascii="Times New Roman" w:hAnsi="Times New Roman"/>
          <w:color w:val="auto"/>
          <w:kern w:val="0"/>
          <w:szCs w:val="21"/>
          <w:highlight w:val="none"/>
          <w:lang w:val="en-US" w:eastAsia="zh-CN"/>
        </w:rPr>
        <w:t>随着</w:t>
      </w:r>
      <w:r>
        <w:rPr>
          <w:rFonts w:hint="eastAsia" w:ascii="Times New Roman" w:hAnsi="Times New Roman"/>
          <w:color w:val="auto"/>
          <w:kern w:val="0"/>
          <w:szCs w:val="21"/>
          <w:highlight w:val="none"/>
          <w:lang w:val="en-US" w:eastAsia="zh-CN"/>
        </w:rPr>
        <w:t>智金</w:t>
      </w:r>
      <w:r>
        <w:rPr>
          <w:rFonts w:hint="default" w:ascii="Times New Roman" w:hAnsi="Times New Roman"/>
          <w:color w:val="auto"/>
          <w:kern w:val="0"/>
          <w:szCs w:val="21"/>
          <w:highlight w:val="none"/>
          <w:lang w:val="en-US" w:eastAsia="zh-CN"/>
        </w:rPr>
        <w:t>近年来的快速成长，建立匹配公司发展节奏、适应国际用工准则的人才招聘体系至关重要。我们颁布《招聘管理制度》《员工手册》等多个内部制</w:t>
      </w:r>
      <w:r>
        <w:rPr>
          <w:rFonts w:hint="default" w:ascii="Times New Roman" w:hAnsi="Times New Roman"/>
          <w:kern w:val="0"/>
          <w:szCs w:val="21"/>
          <w:highlight w:val="none"/>
          <w:lang w:val="en-US" w:eastAsia="zh-CN"/>
        </w:rPr>
        <w:t>度文件，严格遵守国际劳工法及公司所在地国家和地方的劳工标准，努力营造多元包容的职场环境，保障所有员工权益。</w:t>
      </w:r>
    </w:p>
    <w:p w14:paraId="73FC4EEE">
      <w:pPr>
        <w:keepNext w:val="0"/>
        <w:keepLines w:val="0"/>
        <w:pageBreakBefore w:val="0"/>
        <w:kinsoku/>
        <w:wordWrap/>
        <w:overflowPunct/>
        <w:topLinePunct w:val="0"/>
        <w:autoSpaceDE/>
        <w:autoSpaceDN/>
        <w:bidi w:val="0"/>
        <w:snapToGrid/>
        <w:spacing w:line="360" w:lineRule="auto"/>
        <w:ind w:firstLine="422" w:firstLineChars="200"/>
        <w:textAlignment w:val="auto"/>
        <w:outlineLvl w:val="0"/>
        <w:rPr>
          <w:rFonts w:hint="default" w:ascii="Times New Roman" w:hAnsi="Times New Roman" w:eastAsia="宋体"/>
          <w:b/>
          <w:szCs w:val="21"/>
          <w:highlight w:val="none"/>
          <w:lang w:val="en-US" w:eastAsia="zh-CN"/>
        </w:rPr>
      </w:pPr>
      <w:r>
        <w:rPr>
          <w:rFonts w:hint="eastAsia" w:ascii="宋体" w:hAnsi="宋体" w:cs="宋体"/>
          <w:b/>
          <w:highlight w:val="none"/>
        </w:rPr>
        <w:t>◆</w:t>
      </w:r>
      <w:r>
        <w:rPr>
          <w:rFonts w:hint="eastAsia" w:ascii="宋体" w:hAnsi="宋体" w:cs="宋体"/>
          <w:b/>
          <w:highlight w:val="none"/>
          <w:lang w:val="en-US" w:eastAsia="zh-CN"/>
        </w:rPr>
        <w:t>权益保障</w:t>
      </w:r>
    </w:p>
    <w:p w14:paraId="30949FFD">
      <w:pPr>
        <w:keepNext w:val="0"/>
        <w:keepLines w:val="0"/>
        <w:pageBreakBefore w:val="0"/>
        <w:widowControl/>
        <w:kinsoku/>
        <w:wordWrap/>
        <w:overflowPunct/>
        <w:topLinePunct w:val="0"/>
        <w:autoSpaceDE/>
        <w:autoSpaceDN/>
        <w:bidi w:val="0"/>
        <w:snapToGrid/>
        <w:spacing w:line="360" w:lineRule="auto"/>
        <w:ind w:firstLine="420" w:firstLineChars="200"/>
        <w:jc w:val="both"/>
        <w:textAlignment w:val="auto"/>
        <w:rPr>
          <w:rFonts w:hint="eastAsia" w:ascii="Times New Roman" w:hAnsi="Times New Roman" w:eastAsia="宋体"/>
          <w:kern w:val="0"/>
          <w:szCs w:val="21"/>
          <w:highlight w:val="none"/>
          <w:lang w:val="en-US" w:eastAsia="zh-CN"/>
        </w:rPr>
      </w:pPr>
      <w:r>
        <w:rPr>
          <w:rFonts w:hint="eastAsia" w:ascii="Times New Roman" w:hAnsi="Times New Roman"/>
          <w:color w:val="auto"/>
          <w:kern w:val="0"/>
          <w:szCs w:val="21"/>
          <w:highlight w:val="none"/>
          <w:lang w:val="en-US" w:eastAsia="zh-CN"/>
        </w:rPr>
        <w:t>智金</w:t>
      </w:r>
      <w:r>
        <w:rPr>
          <w:rFonts w:hint="eastAsia" w:ascii="Times New Roman" w:hAnsi="Times New Roman"/>
          <w:color w:val="auto"/>
          <w:kern w:val="0"/>
          <w:szCs w:val="21"/>
          <w:highlight w:val="none"/>
        </w:rPr>
        <w:t>坚决杜绝雇佣童工、强制劳动等行为发生，并设立了举报机制避免违规用工。我们支持国际有关劳工</w:t>
      </w:r>
      <w:r>
        <w:rPr>
          <w:rFonts w:hint="eastAsia" w:ascii="Times New Roman" w:hAnsi="Times New Roman"/>
          <w:kern w:val="0"/>
          <w:szCs w:val="21"/>
          <w:highlight w:val="none"/>
        </w:rPr>
        <w:t>权益的倡议，坚持平等雇佣，同工同酬。我们避免因员工民族、种族、国籍、宗教信仰、性别、年龄、残疾、婚育情况等产生任何歧视，尊重员工依法自由集会与自由结社的权利为加强人权保障原则的落实</w:t>
      </w:r>
      <w:r>
        <w:rPr>
          <w:rFonts w:hint="eastAsia" w:ascii="Times New Roman" w:hAnsi="Times New Roman"/>
          <w:kern w:val="0"/>
          <w:szCs w:val="21"/>
          <w:highlight w:val="none"/>
          <w:lang w:eastAsia="zh-CN"/>
        </w:rPr>
        <w:t>。</w:t>
      </w:r>
    </w:p>
    <w:p w14:paraId="523ECF4D">
      <w:pPr>
        <w:keepNext w:val="0"/>
        <w:keepLines w:val="0"/>
        <w:pageBreakBefore w:val="0"/>
        <w:kinsoku/>
        <w:wordWrap/>
        <w:overflowPunct/>
        <w:topLinePunct w:val="0"/>
        <w:autoSpaceDE/>
        <w:autoSpaceDN/>
        <w:bidi w:val="0"/>
        <w:snapToGrid/>
        <w:spacing w:line="360" w:lineRule="auto"/>
        <w:ind w:firstLine="422" w:firstLineChars="200"/>
        <w:textAlignment w:val="auto"/>
        <w:outlineLvl w:val="0"/>
        <w:rPr>
          <w:rFonts w:ascii="宋体" w:hAnsi="宋体" w:cs="宋体"/>
          <w:b/>
          <w:highlight w:val="none"/>
        </w:rPr>
      </w:pPr>
      <w:r>
        <w:rPr>
          <w:rFonts w:hint="eastAsia" w:ascii="宋体" w:hAnsi="宋体" w:cs="宋体"/>
          <w:b/>
          <w:highlight w:val="none"/>
        </w:rPr>
        <w:t>◆</w:t>
      </w:r>
      <w:r>
        <w:rPr>
          <w:rFonts w:hint="eastAsia" w:ascii="宋体" w:hAnsi="宋体" w:cs="宋体"/>
          <w:b/>
          <w:highlight w:val="none"/>
          <w:lang w:val="en-US" w:eastAsia="zh-CN"/>
        </w:rPr>
        <w:t>人才吸引</w:t>
      </w:r>
    </w:p>
    <w:p w14:paraId="7FFC56EA">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20" w:firstLineChars="200"/>
        <w:textAlignment w:val="auto"/>
        <w:rPr>
          <w:rFonts w:hint="eastAsia" w:ascii="Times New Roman" w:hAnsi="Times New Roman" w:cs="Times New Roman"/>
          <w:kern w:val="2"/>
          <w:sz w:val="21"/>
          <w:szCs w:val="22"/>
          <w:highlight w:val="none"/>
          <w:lang w:val="en-US" w:eastAsia="zh-CN" w:bidi="ar-SA"/>
        </w:rPr>
      </w:pPr>
      <w:r>
        <w:rPr>
          <w:rFonts w:hint="eastAsia" w:ascii="Times New Roman" w:hAnsi="Times New Roman" w:cs="Times New Roman"/>
          <w:color w:val="auto"/>
          <w:kern w:val="2"/>
          <w:sz w:val="21"/>
          <w:szCs w:val="22"/>
          <w:highlight w:val="none"/>
          <w:lang w:val="en-US" w:eastAsia="zh-CN" w:bidi="ar-SA"/>
        </w:rPr>
        <w:t>智金</w:t>
      </w:r>
      <w:r>
        <w:rPr>
          <w:rFonts w:hint="eastAsia" w:ascii="Times New Roman" w:hAnsi="Times New Roman" w:eastAsia="宋体" w:cs="Times New Roman"/>
          <w:color w:val="auto"/>
          <w:kern w:val="2"/>
          <w:sz w:val="21"/>
          <w:szCs w:val="22"/>
          <w:highlight w:val="none"/>
          <w:lang w:val="en-US" w:eastAsia="zh-CN" w:bidi="ar-SA"/>
        </w:rPr>
        <w:t>制定人才引进战略，广泛吸纳世界各地优秀人才，为不同国家、民族、文化及残障人士提供就业机会。</w:t>
      </w:r>
      <w:r>
        <w:rPr>
          <w:rFonts w:hint="eastAsia" w:ascii="Times New Roman" w:hAnsi="Times New Roman" w:cs="Times New Roman"/>
          <w:color w:val="auto"/>
          <w:kern w:val="2"/>
          <w:sz w:val="21"/>
          <w:szCs w:val="22"/>
          <w:highlight w:val="none"/>
          <w:lang w:val="en-US" w:eastAsia="zh-CN" w:bidi="ar-SA"/>
        </w:rPr>
        <w:t>2024</w:t>
      </w:r>
      <w:r>
        <w:rPr>
          <w:rFonts w:hint="eastAsia" w:ascii="Times New Roman" w:hAnsi="Times New Roman" w:eastAsia="宋体" w:cs="Times New Roman"/>
          <w:color w:val="auto"/>
          <w:kern w:val="2"/>
          <w:sz w:val="21"/>
          <w:szCs w:val="22"/>
          <w:highlight w:val="none"/>
          <w:lang w:val="en-US" w:eastAsia="zh-CN" w:bidi="ar-SA"/>
        </w:rPr>
        <w:t>年，</w:t>
      </w:r>
      <w:r>
        <w:rPr>
          <w:rFonts w:hint="eastAsia" w:ascii="Times New Roman" w:hAnsi="Times New Roman" w:cs="Times New Roman"/>
          <w:color w:val="auto"/>
          <w:kern w:val="2"/>
          <w:sz w:val="21"/>
          <w:szCs w:val="22"/>
          <w:highlight w:val="none"/>
          <w:lang w:val="en-US" w:eastAsia="zh-CN" w:bidi="ar-SA"/>
        </w:rPr>
        <w:t>智金</w:t>
      </w:r>
      <w:r>
        <w:rPr>
          <w:rFonts w:hint="eastAsia" w:ascii="Times New Roman" w:hAnsi="Times New Roman" w:eastAsia="宋体" w:cs="Times New Roman"/>
          <w:color w:val="auto"/>
          <w:kern w:val="2"/>
          <w:sz w:val="21"/>
          <w:szCs w:val="22"/>
          <w:highlight w:val="none"/>
          <w:lang w:val="en-US" w:eastAsia="zh-CN" w:bidi="ar-SA"/>
        </w:rPr>
        <w:t>细</w:t>
      </w:r>
      <w:r>
        <w:rPr>
          <w:rFonts w:hint="eastAsia" w:ascii="Times New Roman" w:hAnsi="Times New Roman" w:eastAsia="宋体" w:cs="Times New Roman"/>
          <w:kern w:val="2"/>
          <w:sz w:val="21"/>
          <w:szCs w:val="22"/>
          <w:highlight w:val="none"/>
          <w:lang w:val="en-US" w:eastAsia="zh-CN" w:bidi="ar-SA"/>
        </w:rPr>
        <w:t>化人才引进策略，搭建人才信息库，通过分层分类的管理策略，激发人才库贡献活力。为吸引全球行业顶尖科研人员与关键人才，我们成立了专项职能小组，建立了“高招”业务流程</w:t>
      </w:r>
      <w:r>
        <w:rPr>
          <w:rFonts w:hint="eastAsia" w:ascii="Times New Roman" w:hAnsi="Times New Roman" w:cs="Times New Roman"/>
          <w:kern w:val="2"/>
          <w:sz w:val="21"/>
          <w:szCs w:val="22"/>
          <w:highlight w:val="none"/>
          <w:lang w:val="en-US" w:eastAsia="zh-CN" w:bidi="ar-SA"/>
        </w:rPr>
        <w:t>。</w:t>
      </w:r>
    </w:p>
    <w:p w14:paraId="5C01F3B4">
      <w:pPr>
        <w:keepNext w:val="0"/>
        <w:keepLines w:val="0"/>
        <w:pageBreakBefore w:val="0"/>
        <w:kinsoku/>
        <w:wordWrap/>
        <w:overflowPunct/>
        <w:topLinePunct w:val="0"/>
        <w:autoSpaceDE/>
        <w:autoSpaceDN/>
        <w:bidi w:val="0"/>
        <w:snapToGrid/>
        <w:spacing w:line="360" w:lineRule="auto"/>
        <w:ind w:firstLine="422" w:firstLineChars="200"/>
        <w:textAlignment w:val="auto"/>
        <w:outlineLvl w:val="0"/>
        <w:rPr>
          <w:rFonts w:hint="default" w:ascii="宋体" w:hAnsi="宋体" w:cs="宋体"/>
          <w:b/>
          <w:highlight w:val="none"/>
          <w:lang w:val="en-US"/>
        </w:rPr>
      </w:pPr>
      <w:r>
        <w:rPr>
          <w:rFonts w:hint="eastAsia" w:ascii="宋体" w:hAnsi="宋体" w:cs="宋体"/>
          <w:b/>
          <w:highlight w:val="none"/>
        </w:rPr>
        <w:t>◆</w:t>
      </w:r>
      <w:r>
        <w:rPr>
          <w:rFonts w:hint="eastAsia" w:ascii="宋体" w:hAnsi="宋体" w:cs="宋体"/>
          <w:b/>
          <w:highlight w:val="none"/>
          <w:lang w:val="en-US" w:eastAsia="zh-CN"/>
        </w:rPr>
        <w:t>人才培养</w:t>
      </w:r>
    </w:p>
    <w:p w14:paraId="70C02D0A">
      <w:pPr>
        <w:pStyle w:val="14"/>
        <w:keepNext w:val="0"/>
        <w:keepLines w:val="0"/>
        <w:pageBreakBefore w:val="0"/>
        <w:shd w:val="clear" w:color="auto" w:fill="FFFFFF"/>
        <w:kinsoku/>
        <w:wordWrap/>
        <w:overflowPunct/>
        <w:topLinePunct w:val="0"/>
        <w:autoSpaceDE/>
        <w:autoSpaceDN/>
        <w:bidi w:val="0"/>
        <w:snapToGrid/>
        <w:spacing w:before="0" w:beforeAutospacing="0" w:after="0" w:afterAutospacing="0" w:line="360" w:lineRule="auto"/>
        <w:ind w:firstLine="420" w:firstLineChars="200"/>
        <w:textAlignment w:val="auto"/>
        <w:rPr>
          <w:rFonts w:hint="default" w:ascii="Times New Roman" w:hAnsi="Times New Roman" w:cs="Times New Roman"/>
          <w:kern w:val="2"/>
          <w:sz w:val="21"/>
          <w:szCs w:val="22"/>
          <w:highlight w:val="none"/>
          <w:lang w:val="en-US" w:eastAsia="zh-CN" w:bidi="ar-SA"/>
        </w:rPr>
      </w:pPr>
      <w:r>
        <w:rPr>
          <w:rFonts w:hint="eastAsia" w:ascii="Times New Roman" w:hAnsi="Times New Roman" w:cs="Times New Roman"/>
          <w:kern w:val="2"/>
          <w:sz w:val="21"/>
          <w:szCs w:val="22"/>
          <w:highlight w:val="none"/>
          <w:lang w:val="en-US" w:eastAsia="zh-CN" w:bidi="ar-SA"/>
        </w:rPr>
        <w:t>智金</w:t>
      </w:r>
      <w:r>
        <w:rPr>
          <w:rFonts w:hint="default" w:ascii="Times New Roman" w:hAnsi="Times New Roman" w:cs="Times New Roman"/>
          <w:kern w:val="2"/>
          <w:sz w:val="21"/>
          <w:szCs w:val="22"/>
          <w:highlight w:val="none"/>
          <w:lang w:val="en-US" w:eastAsia="zh-CN" w:bidi="ar-SA"/>
        </w:rPr>
        <w:t>持续完善员工培训体系，每年定期开展业务需求调研和培训预算启动会议，依据战略规划、业务需求、员工诉求设计更新完善员工</w:t>
      </w:r>
      <w:r>
        <w:rPr>
          <w:rFonts w:hint="default" w:ascii="Times New Roman" w:hAnsi="Times New Roman" w:cs="Times New Roman"/>
          <w:color w:val="auto"/>
          <w:kern w:val="2"/>
          <w:sz w:val="21"/>
          <w:szCs w:val="22"/>
          <w:highlight w:val="none"/>
          <w:lang w:val="en-US" w:eastAsia="zh-CN" w:bidi="ar-SA"/>
        </w:rPr>
        <w:t>培训项目体系。20</w:t>
      </w:r>
      <w:r>
        <w:rPr>
          <w:rFonts w:hint="eastAsia" w:ascii="Times New Roman" w:hAnsi="Times New Roman" w:cs="Times New Roman"/>
          <w:color w:val="auto"/>
          <w:kern w:val="2"/>
          <w:sz w:val="21"/>
          <w:szCs w:val="22"/>
          <w:highlight w:val="none"/>
          <w:lang w:val="en-US" w:eastAsia="zh-CN" w:bidi="ar-SA"/>
        </w:rPr>
        <w:t>24</w:t>
      </w:r>
      <w:r>
        <w:rPr>
          <w:rFonts w:hint="default" w:ascii="Times New Roman" w:hAnsi="Times New Roman" w:cs="Times New Roman"/>
          <w:color w:val="auto"/>
          <w:kern w:val="2"/>
          <w:sz w:val="21"/>
          <w:szCs w:val="22"/>
          <w:highlight w:val="none"/>
          <w:lang w:val="en-US" w:eastAsia="zh-CN" w:bidi="ar-SA"/>
        </w:rPr>
        <w:t>年，我</w:t>
      </w:r>
      <w:r>
        <w:rPr>
          <w:rFonts w:hint="default" w:ascii="Times New Roman" w:hAnsi="Times New Roman" w:cs="Times New Roman"/>
          <w:kern w:val="2"/>
          <w:sz w:val="21"/>
          <w:szCs w:val="22"/>
          <w:highlight w:val="none"/>
          <w:lang w:val="en-US" w:eastAsia="zh-CN" w:bidi="ar-SA"/>
        </w:rPr>
        <w:t>们进一步细化人才培养体系，并针对不同人群和能力建设需求开展针对性的项目。</w:t>
      </w:r>
    </w:p>
    <w:p w14:paraId="2CE9A682">
      <w:pPr>
        <w:keepNext w:val="0"/>
        <w:keepLines w:val="0"/>
        <w:pageBreakBefore w:val="0"/>
        <w:kinsoku/>
        <w:wordWrap/>
        <w:overflowPunct/>
        <w:topLinePunct w:val="0"/>
        <w:autoSpaceDE/>
        <w:autoSpaceDN/>
        <w:bidi w:val="0"/>
        <w:snapToGrid/>
        <w:spacing w:line="360" w:lineRule="auto"/>
        <w:ind w:firstLine="422" w:firstLineChars="200"/>
        <w:textAlignment w:val="auto"/>
        <w:outlineLvl w:val="0"/>
        <w:rPr>
          <w:rFonts w:hint="default" w:ascii="Times New Roman" w:hAnsi="Times New Roman" w:eastAsia="宋体"/>
          <w:b/>
          <w:szCs w:val="21"/>
          <w:highlight w:val="none"/>
          <w:lang w:val="en-US" w:eastAsia="zh-CN"/>
        </w:rPr>
      </w:pPr>
      <w:r>
        <w:rPr>
          <w:rFonts w:hint="eastAsia" w:ascii="宋体" w:hAnsi="宋体" w:cs="宋体"/>
          <w:b/>
          <w:highlight w:val="none"/>
        </w:rPr>
        <w:t>◆</w:t>
      </w:r>
      <w:r>
        <w:rPr>
          <w:rFonts w:hint="eastAsia" w:ascii="Times New Roman" w:hAnsi="Times New Roman"/>
          <w:b/>
          <w:szCs w:val="21"/>
          <w:highlight w:val="none"/>
          <w:lang w:val="en-US" w:eastAsia="zh-CN"/>
        </w:rPr>
        <w:t>平等多元</w:t>
      </w:r>
    </w:p>
    <w:p w14:paraId="7810DEC8">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Times New Roman" w:hAnsi="Times New Roman"/>
          <w:color w:val="auto"/>
          <w:highlight w:val="none"/>
        </w:rPr>
      </w:pPr>
      <w:r>
        <w:rPr>
          <w:rFonts w:hint="eastAsia" w:ascii="Times New Roman" w:hAnsi="Times New Roman"/>
          <w:color w:val="auto"/>
          <w:highlight w:val="none"/>
          <w:lang w:val="en-US" w:eastAsia="zh-CN"/>
        </w:rPr>
        <w:t>智金</w:t>
      </w:r>
      <w:r>
        <w:rPr>
          <w:rFonts w:hint="eastAsia" w:ascii="Times New Roman" w:hAnsi="Times New Roman"/>
          <w:color w:val="auto"/>
          <w:highlight w:val="none"/>
        </w:rPr>
        <w:t>秉承开放、包容、平等的用人理念，致力营造多元化的用工环境。</w:t>
      </w:r>
      <w:r>
        <w:rPr>
          <w:rFonts w:hint="eastAsia" w:ascii="Times New Roman" w:hAnsi="Times New Roman"/>
          <w:color w:val="auto"/>
          <w:highlight w:val="none"/>
          <w:lang w:val="en-US" w:eastAsia="zh-CN"/>
        </w:rPr>
        <w:t>智金</w:t>
      </w:r>
      <w:r>
        <w:rPr>
          <w:rFonts w:hint="eastAsia" w:ascii="Times New Roman" w:hAnsi="Times New Roman"/>
          <w:color w:val="auto"/>
          <w:highlight w:val="none"/>
        </w:rPr>
        <w:t>十分尊重与重视女性员工，支持女性员工发挥潜能，勇敢追求目标，实现自我价值。20</w:t>
      </w:r>
      <w:r>
        <w:rPr>
          <w:rFonts w:hint="eastAsia" w:ascii="Times New Roman" w:hAnsi="Times New Roman"/>
          <w:color w:val="auto"/>
          <w:highlight w:val="none"/>
          <w:lang w:val="en-US" w:eastAsia="zh-CN"/>
        </w:rPr>
        <w:t>24</w:t>
      </w:r>
      <w:r>
        <w:rPr>
          <w:rFonts w:hint="eastAsia" w:ascii="Times New Roman" w:hAnsi="Times New Roman"/>
          <w:color w:val="auto"/>
          <w:highlight w:val="none"/>
        </w:rPr>
        <w:t>年，组建女职工委员会，定期为女性员工组织关爱活动。</w:t>
      </w:r>
    </w:p>
    <w:p w14:paraId="29857EDA">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Times New Roman" w:hAnsi="Times New Roman"/>
          <w:highlight w:val="none"/>
        </w:rPr>
      </w:pPr>
      <w:r>
        <w:rPr>
          <w:rFonts w:hint="eastAsia" w:ascii="Times New Roman" w:hAnsi="Times New Roman"/>
          <w:color w:val="auto"/>
          <w:highlight w:val="none"/>
        </w:rPr>
        <w:t>重视职场平等，提倡职场性别多元化，为男性与</w:t>
      </w:r>
      <w:r>
        <w:rPr>
          <w:rFonts w:hint="eastAsia" w:ascii="Times New Roman" w:hAnsi="Times New Roman"/>
          <w:highlight w:val="none"/>
        </w:rPr>
        <w:t>女性员工提供同等的发展平台与机遇。</w:t>
      </w:r>
    </w:p>
    <w:p w14:paraId="64544C9F">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Times New Roman" w:hAnsi="Times New Roman"/>
          <w:highlight w:val="none"/>
        </w:rPr>
      </w:pPr>
      <w:r>
        <w:rPr>
          <w:rFonts w:hint="eastAsia" w:ascii="Times New Roman" w:hAnsi="Times New Roman"/>
          <w:highlight w:val="none"/>
        </w:rPr>
        <w:t>支持涌入年轻的力量，重视经验丰富的骨干员工，积极构建多元化的年龄组成。</w:t>
      </w:r>
    </w:p>
    <w:p w14:paraId="1BFFC38C">
      <w:pPr>
        <w:keepNext w:val="0"/>
        <w:keepLines w:val="0"/>
        <w:pageBreakBefore w:val="0"/>
        <w:kinsoku/>
        <w:wordWrap/>
        <w:overflowPunct/>
        <w:topLinePunct w:val="0"/>
        <w:autoSpaceDE/>
        <w:autoSpaceDN/>
        <w:bidi w:val="0"/>
        <w:snapToGrid/>
        <w:spacing w:line="360" w:lineRule="auto"/>
        <w:ind w:firstLine="422" w:firstLineChars="200"/>
        <w:jc w:val="left"/>
        <w:textAlignment w:val="auto"/>
        <w:outlineLvl w:val="0"/>
        <w:rPr>
          <w:rFonts w:ascii="Times New Roman" w:hAnsi="Times New Roman"/>
          <w:szCs w:val="21"/>
          <w:highlight w:val="none"/>
        </w:rPr>
      </w:pPr>
      <w:r>
        <w:rPr>
          <w:rFonts w:hint="eastAsia" w:ascii="宋体" w:hAnsi="宋体" w:cs="宋体"/>
          <w:b/>
          <w:highlight w:val="none"/>
        </w:rPr>
        <w:t>◆</w:t>
      </w:r>
      <w:r>
        <w:rPr>
          <w:rFonts w:ascii="Times New Roman" w:hAnsi="Times New Roman"/>
          <w:b/>
          <w:highlight w:val="none"/>
        </w:rPr>
        <w:t>从细节和点滴着手，</w:t>
      </w:r>
      <w:r>
        <w:rPr>
          <w:rFonts w:ascii="Times New Roman" w:hAnsi="Times New Roman"/>
          <w:b/>
          <w:szCs w:val="21"/>
          <w:highlight w:val="none"/>
        </w:rPr>
        <w:t>关怀员工身心发展</w:t>
      </w:r>
    </w:p>
    <w:p w14:paraId="1FDC7065">
      <w:pPr>
        <w:keepNext w:val="0"/>
        <w:keepLines w:val="0"/>
        <w:pageBreakBefore w:val="0"/>
        <w:kinsoku/>
        <w:wordWrap/>
        <w:overflowPunct/>
        <w:topLinePunct w:val="0"/>
        <w:autoSpaceDE/>
        <w:autoSpaceDN/>
        <w:bidi w:val="0"/>
        <w:adjustRightInd w:val="0"/>
        <w:snapToGrid/>
        <w:spacing w:line="360" w:lineRule="auto"/>
        <w:ind w:firstLine="420" w:firstLineChars="200"/>
        <w:textAlignment w:val="auto"/>
        <w:rPr>
          <w:rFonts w:ascii="Times New Roman" w:hAnsi="Times New Roman"/>
          <w:szCs w:val="21"/>
          <w:highlight w:val="none"/>
        </w:rPr>
      </w:pPr>
      <w:r>
        <w:rPr>
          <w:rFonts w:ascii="Times New Roman" w:hAnsi="Times New Roman"/>
          <w:szCs w:val="21"/>
          <w:highlight w:val="none"/>
        </w:rPr>
        <w:t>打造和谐社会，首先要实现人与人的融洽共</w:t>
      </w:r>
      <w:r>
        <w:rPr>
          <w:rFonts w:ascii="Times New Roman" w:hAnsi="Times New Roman"/>
          <w:i/>
          <w:iCs/>
          <w:color w:val="auto"/>
          <w:szCs w:val="21"/>
          <w:highlight w:val="none"/>
        </w:rPr>
        <w:t>处。</w:t>
      </w:r>
      <w:r>
        <w:rPr>
          <w:rFonts w:hint="eastAsia" w:ascii="Times New Roman" w:hAnsi="Times New Roman"/>
          <w:i/>
          <w:iCs/>
          <w:color w:val="auto"/>
          <w:szCs w:val="21"/>
          <w:highlight w:val="none"/>
          <w:lang w:eastAsia="zh-CN"/>
        </w:rPr>
        <w:t>智金</w:t>
      </w:r>
      <w:r>
        <w:rPr>
          <w:rFonts w:ascii="Times New Roman" w:hAnsi="Times New Roman"/>
          <w:szCs w:val="21"/>
          <w:highlight w:val="none"/>
        </w:rPr>
        <w:t>把以人为本的理念落实到日常工作和生活之中，真正做到尊重人、关心人、培养人、重视人、激励人，建立管理人员与员工顺畅的沟通、交流平台，</w:t>
      </w:r>
      <w:r>
        <w:rPr>
          <w:rFonts w:ascii="Times New Roman" w:hAnsi="Times New Roman"/>
          <w:spacing w:val="8"/>
          <w:kern w:val="0"/>
          <w:szCs w:val="21"/>
          <w:highlight w:val="none"/>
        </w:rPr>
        <w:t>公司从小处入手，关心员工生活和工作，为员工办实事，不断改善员工生活水平。</w:t>
      </w:r>
    </w:p>
    <w:p w14:paraId="5DA5F319">
      <w:pPr>
        <w:keepNext w:val="0"/>
        <w:keepLines w:val="0"/>
        <w:pageBreakBefore w:val="0"/>
        <w:kinsoku/>
        <w:wordWrap/>
        <w:overflowPunct/>
        <w:topLinePunct w:val="0"/>
        <w:autoSpaceDE/>
        <w:autoSpaceDN/>
        <w:bidi w:val="0"/>
        <w:snapToGrid/>
        <w:spacing w:line="360" w:lineRule="auto"/>
        <w:ind w:firstLine="435"/>
        <w:textAlignment w:val="auto"/>
        <w:rPr>
          <w:rFonts w:ascii="Times New Roman" w:hAnsi="Times New Roman"/>
          <w:spacing w:val="8"/>
          <w:kern w:val="0"/>
          <w:szCs w:val="21"/>
          <w:highlight w:val="none"/>
        </w:rPr>
      </w:pPr>
      <w:r>
        <w:rPr>
          <w:rFonts w:ascii="Times New Roman" w:hAnsi="Times New Roman"/>
          <w:spacing w:val="8"/>
          <w:kern w:val="0"/>
          <w:szCs w:val="21"/>
          <w:highlight w:val="none"/>
        </w:rPr>
        <w:t>公司十分注重发挥党组织、</w:t>
      </w:r>
      <w:r>
        <w:rPr>
          <w:rFonts w:hint="eastAsia" w:ascii="Times New Roman" w:hAnsi="Times New Roman"/>
          <w:spacing w:val="8"/>
          <w:kern w:val="0"/>
          <w:szCs w:val="21"/>
          <w:highlight w:val="none"/>
        </w:rPr>
        <w:t>职</w:t>
      </w:r>
      <w:r>
        <w:rPr>
          <w:rFonts w:ascii="Times New Roman" w:hAnsi="Times New Roman"/>
          <w:spacing w:val="8"/>
          <w:kern w:val="0"/>
          <w:szCs w:val="21"/>
          <w:highlight w:val="none"/>
        </w:rPr>
        <w:t>代会等组织的作用，企业召开民主生活会、党员干部生活会、基层员工座谈会，为管理者与基层员工之间架起沟通的桥梁，鼓励员工积极提出合理化建议，充分发挥民主监督作用，增强了企业的凝聚力。</w:t>
      </w:r>
    </w:p>
    <w:p w14:paraId="7E2E475F">
      <w:pPr>
        <w:keepNext w:val="0"/>
        <w:keepLines w:val="0"/>
        <w:pageBreakBefore w:val="0"/>
        <w:kinsoku/>
        <w:wordWrap/>
        <w:overflowPunct/>
        <w:topLinePunct w:val="0"/>
        <w:autoSpaceDE/>
        <w:autoSpaceDN/>
        <w:bidi w:val="0"/>
        <w:snapToGrid/>
        <w:spacing w:line="360" w:lineRule="auto"/>
        <w:ind w:firstLine="435"/>
        <w:textAlignment w:val="auto"/>
        <w:rPr>
          <w:rFonts w:ascii="Times New Roman" w:hAnsi="Times New Roman" w:eastAsia="宋体" w:cs="Times New Roman"/>
          <w:spacing w:val="8"/>
          <w:kern w:val="0"/>
          <w:szCs w:val="21"/>
          <w:highlight w:val="none"/>
        </w:rPr>
      </w:pPr>
      <w:r>
        <w:rPr>
          <w:rFonts w:ascii="Times New Roman" w:hAnsi="Times New Roman" w:eastAsia="宋体" w:cs="Times New Roman"/>
          <w:spacing w:val="8"/>
          <w:kern w:val="0"/>
          <w:szCs w:val="21"/>
          <w:highlight w:val="none"/>
        </w:rPr>
        <w:t>公司策划各种喜闻乐见的文化娱乐活动，丰富员工业余生活。公司每年定期安排员工体检，保护员工身心健康；在员工遭遇意外时，工会第一时间发挥救助困难员工的作用，为员工雪中送炭；每年组织炎夏“送清凉”活动及年终“送温暖”扶贫活动；春节期间，组织员工返乡。</w:t>
      </w:r>
    </w:p>
    <w:p w14:paraId="5011DD5A">
      <w:pPr>
        <w:rPr>
          <w:rFonts w:ascii="Times New Roman" w:hAnsi="Times New Roman" w:eastAsiaTheme="minorEastAsia"/>
          <w:b/>
          <w:color w:val="FF0000"/>
          <w:szCs w:val="21"/>
          <w:highlight w:val="none"/>
        </w:rPr>
      </w:pPr>
      <w:r>
        <w:rPr>
          <w:rFonts w:ascii="Times New Roman" w:hAnsi="Times New Roman"/>
          <w:b/>
          <w:color w:val="FF000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-132715</wp:posOffset>
                </wp:positionH>
                <wp:positionV relativeFrom="paragraph">
                  <wp:posOffset>112395</wp:posOffset>
                </wp:positionV>
                <wp:extent cx="2585720" cy="497205"/>
                <wp:effectExtent l="4445" t="5080" r="13335" b="5715"/>
                <wp:wrapNone/>
                <wp:docPr id="8" name="Text Box 26"/>
                <wp:cNvGraphicFramePr/>
                <a:graphic xmlns:a="http://schemas.openxmlformats.org/drawingml/2006/main">
                  <a:graphicData uri="http://schemas.microsoft.com/office/word/2010/wordprocessingShape">
                    <wps:wsp>
                      <wps:cNvSpPr txBox="1">
                        <a:spLocks noChangeArrowheads="1"/>
                      </wps:cNvSpPr>
                      <wps:spPr bwMode="auto">
                        <a:xfrm>
                          <a:off x="0" y="0"/>
                          <a:ext cx="2585720" cy="497205"/>
                        </a:xfrm>
                        <a:prstGeom prst="rect">
                          <a:avLst/>
                        </a:prstGeom>
                        <a:solidFill>
                          <a:srgbClr val="FFFFFF"/>
                        </a:solidFill>
                        <a:ln w="9525">
                          <a:noFill/>
                          <a:miter lim="800000"/>
                        </a:ln>
                        <a:effectLst/>
                      </wps:spPr>
                      <wps:txbx>
                        <w:txbxContent>
                          <w:p w14:paraId="4D3A8C8E">
                            <w:pPr>
                              <w:rPr>
                                <w:rFonts w:hint="default"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●社会公益</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与社区贡献</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26" o:spid="_x0000_s1026" o:spt="202" type="#_x0000_t202" style="position:absolute;left:0pt;margin-left:-10.45pt;margin-top:8.85pt;height:39.15pt;width:203.6pt;z-index:251660288;mso-width-relative:page;mso-height-relative:margin;mso-height-percent:200;" fillcolor="#FFFFFF" filled="t" stroked="f" coordsize="21600,21600" o:gfxdata="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FpTRbdgAAAAJAQAADwAAAAAAAAABACAAAAAiAAAAZHJzL2Rvd25yZXYueG1s&#10;UEsBAhQAFAAAAAgAh07iQA8kGH8xAgAAbAQAAA4AAAAAAAAAAQAgAAAAJwEAAGRycy9lMm9Eb2Mu&#10;eG1sUEsFBgAAAAAGAAYAWQEAAMoFAAAAAA==&#10;">
                <v:fill on="t" focussize="0,0"/>
                <v:stroke on="f" miterlimit="8" joinstyle="miter"/>
                <v:imagedata o:title=""/>
                <o:lock v:ext="edit" aspectratio="f"/>
                <v:textbox style="mso-fit-shape-to-text:t;">
                  <w:txbxContent>
                    <w:p w14:paraId="4D3A8C8E">
                      <w:pPr>
                        <w:rPr>
                          <w:rFonts w:hint="default"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●社会公益</w:t>
                      </w:r>
                      <w:r>
                        <w:rPr>
                          <w:rFonts w:hint="eastAsia" w:ascii="汉仪雅酷黑 85W" w:hAnsi="汉仪雅酷黑 85W" w:eastAsia="汉仪雅酷黑 85W" w:cs="汉仪雅酷黑 85W"/>
                          <w:b/>
                          <w:bCs w:val="0"/>
                          <w:color w:val="558ED5" w:themeColor="text2" w:themeTint="99"/>
                          <w:sz w:val="32"/>
                          <w:szCs w:val="32"/>
                          <w:highlight w:val="none"/>
                          <w:lang w:val="en-US" w:eastAsia="zh-CN"/>
                          <w14:textFill>
                            <w14:solidFill>
                              <w14:schemeClr w14:val="tx2">
                                <w14:lumMod w14:val="60000"/>
                                <w14:lumOff w14:val="40000"/>
                              </w14:schemeClr>
                            </w14:solidFill>
                          </w14:textFill>
                        </w:rPr>
                        <w:t>与社区贡献</w:t>
                      </w:r>
                    </w:p>
                  </w:txbxContent>
                </v:textbox>
              </v:shape>
            </w:pict>
          </mc:Fallback>
        </mc:AlternateContent>
      </w:r>
    </w:p>
    <w:p w14:paraId="1EE7BE37">
      <w:pPr>
        <w:ind w:firstLine="420" w:firstLineChars="200"/>
        <w:rPr>
          <w:rStyle w:val="20"/>
          <w:rFonts w:ascii="Times New Roman" w:hAnsi="Times New Roman"/>
          <w:i w:val="0"/>
          <w:iCs w:val="0"/>
          <w:szCs w:val="21"/>
          <w:highlight w:val="none"/>
          <w:shd w:val="clear" w:color="auto" w:fill="FFFFFF"/>
        </w:rPr>
      </w:pPr>
    </w:p>
    <w:p w14:paraId="3CF19E06">
      <w:pPr>
        <w:ind w:firstLine="420" w:firstLineChars="200"/>
        <w:rPr>
          <w:rStyle w:val="20"/>
          <w:rFonts w:ascii="Times New Roman" w:hAnsi="Times New Roman"/>
          <w:i w:val="0"/>
          <w:iCs w:val="0"/>
          <w:szCs w:val="21"/>
          <w:highlight w:val="none"/>
          <w:shd w:val="clear" w:color="auto" w:fill="FFFFFF"/>
        </w:rPr>
      </w:pPr>
    </w:p>
    <w:p w14:paraId="312A917C">
      <w:pPr>
        <w:keepNext w:val="0"/>
        <w:keepLines w:val="0"/>
        <w:pageBreakBefore w:val="0"/>
        <w:widowControl w:val="0"/>
        <w:kinsoku/>
        <w:wordWrap/>
        <w:overflowPunct/>
        <w:topLinePunct w:val="0"/>
        <w:autoSpaceDE/>
        <w:autoSpaceDN/>
        <w:bidi w:val="0"/>
        <w:adjustRightInd/>
        <w:snapToGrid/>
        <w:spacing w:before="313" w:beforeLines="100" w:line="360" w:lineRule="auto"/>
        <w:ind w:firstLine="452" w:firstLineChars="200"/>
        <w:jc w:val="left"/>
        <w:textAlignment w:val="auto"/>
        <w:rPr>
          <w:rFonts w:hint="default" w:ascii="Times New Roman" w:hAnsi="Times New Roman" w:eastAsiaTheme="minorEastAsia"/>
          <w:highlight w:val="none"/>
          <w:lang w:val="en-US"/>
        </w:rPr>
      </w:pPr>
      <w:r>
        <w:rPr>
          <w:rFonts w:hint="eastAsia" w:ascii="Times New Roman" w:hAnsi="Times New Roman" w:eastAsia="宋体" w:cs="Times New Roman"/>
          <w:spacing w:val="8"/>
          <w:kern w:val="0"/>
          <w:szCs w:val="21"/>
          <w:highlight w:val="none"/>
          <w:lang w:eastAsia="zh-CN"/>
        </w:rPr>
        <w:t>智金</w:t>
      </w:r>
      <w:r>
        <w:rPr>
          <w:rFonts w:ascii="Times New Roman" w:hAnsi="Times New Roman" w:eastAsia="宋体" w:cs="Times New Roman"/>
          <w:spacing w:val="8"/>
          <w:kern w:val="0"/>
          <w:szCs w:val="21"/>
          <w:highlight w:val="none"/>
        </w:rPr>
        <w:t>通过慈善捐赠、志愿服务、技能赋能等方式，解决社会痛点</w:t>
      </w:r>
      <w:r>
        <w:rPr>
          <w:rFonts w:hint="eastAsia" w:ascii="Times New Roman" w:hAnsi="Times New Roman" w:eastAsia="宋体" w:cs="Times New Roman"/>
          <w:spacing w:val="8"/>
          <w:kern w:val="0"/>
          <w:szCs w:val="21"/>
          <w:highlight w:val="none"/>
          <w:lang w:eastAsia="zh-CN"/>
        </w:rPr>
        <w:t>，</w:t>
      </w:r>
      <w:r>
        <w:rPr>
          <w:rFonts w:ascii="Times New Roman" w:hAnsi="Times New Roman" w:eastAsia="宋体" w:cs="Times New Roman"/>
          <w:spacing w:val="8"/>
          <w:kern w:val="0"/>
          <w:szCs w:val="21"/>
          <w:highlight w:val="none"/>
        </w:rPr>
        <w:t>推动社会公平与福祉提升</w:t>
      </w:r>
      <w:r>
        <w:rPr>
          <w:rFonts w:hint="eastAsia" w:ascii="Times New Roman" w:hAnsi="Times New Roman" w:eastAsia="宋体" w:cs="Times New Roman"/>
          <w:spacing w:val="8"/>
          <w:kern w:val="0"/>
          <w:szCs w:val="21"/>
          <w:highlight w:val="none"/>
          <w:lang w:eastAsia="zh-CN"/>
        </w:rPr>
        <w:t>，</w:t>
      </w:r>
      <w:r>
        <w:rPr>
          <w:rFonts w:ascii="Times New Roman" w:hAnsi="Times New Roman" w:eastAsia="宋体" w:cs="Times New Roman"/>
          <w:spacing w:val="8"/>
          <w:kern w:val="0"/>
          <w:szCs w:val="21"/>
          <w:highlight w:val="none"/>
        </w:rPr>
        <w:t>聚焦企业所在地或业务辐射区域，通过资源投入、共建协作等方式改善社区环境、促进经济发展，增强企业与社区的共生关系。</w:t>
      </w:r>
      <w:r>
        <w:rPr>
          <w:rFonts w:hint="eastAsia" w:ascii="Times New Roman" w:hAnsi="Times New Roman" w:eastAsia="宋体" w:cs="Times New Roman"/>
          <w:spacing w:val="8"/>
          <w:kern w:val="0"/>
          <w:szCs w:val="21"/>
          <w:highlight w:val="none"/>
          <w:lang w:val="en-US" w:eastAsia="zh-CN"/>
        </w:rPr>
        <w:t>如</w:t>
      </w:r>
      <w:r>
        <w:rPr>
          <w:rFonts w:hint="eastAsia" w:ascii="Times New Roman" w:hAnsi="Times New Roman" w:cs="Times New Roman"/>
          <w:spacing w:val="8"/>
          <w:kern w:val="0"/>
          <w:szCs w:val="21"/>
          <w:highlight w:val="none"/>
          <w:lang w:val="en-US" w:eastAsia="zh-CN"/>
        </w:rPr>
        <w:t>：</w:t>
      </w:r>
      <w:bookmarkStart w:id="2" w:name="_GoBack"/>
      <w:bookmarkEnd w:id="2"/>
      <w:r>
        <w:rPr>
          <w:rFonts w:hint="eastAsia" w:ascii="Times New Roman" w:hAnsi="Times New Roman" w:eastAsia="宋体" w:cs="Times New Roman"/>
          <w:spacing w:val="8"/>
          <w:kern w:val="0"/>
          <w:szCs w:val="21"/>
          <w:highlight w:val="none"/>
          <w:lang w:val="en-US" w:eastAsia="zh-CN"/>
        </w:rPr>
        <w:t>2021年参加“蓝天下的至爱”捐赠活动向张堰镇红十字会捐款2万元，2022年响应政府号召向社区捐赠防疫物资，平时积极组织党员员工参入社区卫生清扫、慰问老人等活动。</w:t>
      </w:r>
      <w:r>
        <w:rPr>
          <w:rFonts w:hint="eastAsia" w:ascii="Times New Roman" w:hAnsi="Times New Roman" w:cs="Times New Roman"/>
          <w:spacing w:val="8"/>
          <w:kern w:val="0"/>
          <w:szCs w:val="21"/>
          <w:highlight w:val="none"/>
          <w:lang w:val="en-US" w:eastAsia="zh-CN"/>
        </w:rPr>
        <w:t>公司为解决社会残障人士的就业困难，雇佣部分残障人士。</w:t>
      </w:r>
    </w:p>
    <w:p w14:paraId="1B074792">
      <w:pPr>
        <w:ind w:firstLine="420" w:firstLineChars="200"/>
        <w:jc w:val="left"/>
        <w:rPr>
          <w:rFonts w:hint="eastAsia" w:ascii="Times New Roman" w:hAnsi="Times New Roman" w:eastAsiaTheme="minorEastAsia"/>
          <w:highlight w:val="none"/>
          <w:lang w:val="en-US" w:eastAsia="zh-CN"/>
        </w:rPr>
        <w:sectPr>
          <w:pgSz w:w="11906" w:h="16838"/>
          <w:pgMar w:top="1440" w:right="1800" w:bottom="1440" w:left="1800" w:header="851" w:footer="992" w:gutter="0"/>
          <w:pgNumType w:fmt="decimal"/>
          <w:cols w:space="425" w:num="1"/>
          <w:docGrid w:type="lines" w:linePitch="312" w:charSpace="0"/>
        </w:sectPr>
      </w:pPr>
    </w:p>
    <w:p w14:paraId="27D4B02D">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outlineLvl w:val="0"/>
        <w:rPr>
          <w:rFonts w:ascii="Times New Roman" w:hAnsi="Times New Roman" w:eastAsiaTheme="minorEastAsia"/>
          <w:b/>
          <w:sz w:val="36"/>
          <w:szCs w:val="36"/>
          <w:highlight w:val="none"/>
        </w:rPr>
      </w:pPr>
      <w:r>
        <w:rPr>
          <w:rFonts w:ascii="Times New Roman" w:hAnsi="Times New Roman" w:eastAsiaTheme="minorEastAsia"/>
          <w:b/>
          <w:sz w:val="36"/>
          <w:szCs w:val="36"/>
          <w:highlight w:val="none"/>
        </w:rPr>
        <w:t>尾篇</w:t>
      </w:r>
    </w:p>
    <w:p w14:paraId="09AAD733">
      <w:pPr>
        <w:widowControl/>
        <w:jc w:val="left"/>
        <w:rPr>
          <w:rFonts w:ascii="Times New Roman" w:hAnsi="Times New Roman"/>
          <w:kern w:val="0"/>
          <w:szCs w:val="21"/>
          <w:highlight w:val="none"/>
        </w:rPr>
      </w:pPr>
    </w:p>
    <w:p w14:paraId="393CC5C8">
      <w:pPr>
        <w:rPr>
          <w:rFonts w:ascii="Times New Roman" w:hAnsi="Times New Roman"/>
          <w:b/>
          <w:highlight w:val="none"/>
        </w:rPr>
      </w:pPr>
      <w:r>
        <w:rPr>
          <w:rFonts w:ascii="Times New Roman" w:hAnsi="Times New Roman"/>
          <w:b/>
          <w:highlight w:val="none"/>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7620</wp:posOffset>
                </wp:positionV>
                <wp:extent cx="2088515" cy="497205"/>
                <wp:effectExtent l="0" t="0" r="14605" b="5715"/>
                <wp:wrapNone/>
                <wp:docPr id="6" name="Text Box 28"/>
                <wp:cNvGraphicFramePr/>
                <a:graphic xmlns:a="http://schemas.openxmlformats.org/drawingml/2006/main">
                  <a:graphicData uri="http://schemas.microsoft.com/office/word/2010/wordprocessingShape">
                    <wps:wsp>
                      <wps:cNvSpPr txBox="1">
                        <a:spLocks noChangeArrowheads="1"/>
                      </wps:cNvSpPr>
                      <wps:spPr bwMode="auto">
                        <a:xfrm>
                          <a:off x="0" y="0"/>
                          <a:ext cx="2088515" cy="497205"/>
                        </a:xfrm>
                        <a:prstGeom prst="rect">
                          <a:avLst/>
                        </a:prstGeom>
                        <a:solidFill>
                          <a:srgbClr val="FFFFFF"/>
                        </a:solidFill>
                        <a:ln w="9525">
                          <a:noFill/>
                          <a:miter lim="800000"/>
                        </a:ln>
                        <a:effectLst/>
                      </wps:spPr>
                      <wps:txbx>
                        <w:txbxContent>
                          <w:p w14:paraId="5A16E67D">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●社会责任体系建设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8" o:spid="_x0000_s1026" o:spt="202" type="#_x0000_t202" style="position:absolute;left:0pt;margin-left:1.45pt;margin-top:0.6pt;height:39.15pt;width:164.45pt;z-index:251661312;mso-width-relative:margin;mso-height-relative:margin;mso-width-percent:400;mso-height-percent:200;" fillcolor="#FFFFFF" filled="t" stroked="f" coordsize="21600,21600" o:gfxdata="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XXHTtYAAAAGAQAADwAAAAAAAAABACAAAAAiAAAAZHJzL2Rvd25yZXYu&#10;eG1sUEsBAhQAFAAAAAgAh07iQElEH1o2AgAAbAQAAA4AAAAAAAAAAQAgAAAAJQEAAGRycy9lMm9E&#10;b2MueG1sUEsFBgAAAAAGAAYAWQEAAM0FAAAAAA==&#10;">
                <v:fill on="t" focussize="0,0"/>
                <v:stroke on="f" miterlimit="8" joinstyle="miter"/>
                <v:imagedata o:title=""/>
                <o:lock v:ext="edit" aspectratio="f"/>
                <v:textbox style="mso-fit-shape-to-text:t;">
                  <w:txbxContent>
                    <w:p w14:paraId="5A16E67D">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●社会责任体系建设</w:t>
                      </w:r>
                    </w:p>
                  </w:txbxContent>
                </v:textbox>
              </v:shape>
            </w:pict>
          </mc:Fallback>
        </mc:AlternateContent>
      </w:r>
    </w:p>
    <w:p w14:paraId="37291CF2">
      <w:pPr>
        <w:rPr>
          <w:rFonts w:ascii="Times New Roman" w:hAnsi="Times New Roman"/>
          <w:b/>
          <w:highlight w:val="none"/>
        </w:rPr>
      </w:pPr>
    </w:p>
    <w:p w14:paraId="44AA3F58">
      <w:pPr>
        <w:rPr>
          <w:rFonts w:ascii="Times New Roman" w:hAnsi="Times New Roman"/>
          <w:b/>
          <w:highlight w:val="none"/>
        </w:rPr>
      </w:pPr>
    </w:p>
    <w:p w14:paraId="21B910E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i w:val="0"/>
          <w:iCs w:val="0"/>
          <w:color w:val="auto"/>
          <w:szCs w:val="21"/>
          <w:highlight w:val="none"/>
        </w:rPr>
      </w:pPr>
      <w:r>
        <w:rPr>
          <w:rFonts w:hint="eastAsia" w:ascii="Times New Roman" w:hAnsi="Times New Roman"/>
          <w:i w:val="0"/>
          <w:iCs w:val="0"/>
          <w:color w:val="auto"/>
          <w:szCs w:val="21"/>
          <w:highlight w:val="none"/>
          <w:lang w:eastAsia="zh-CN"/>
        </w:rPr>
        <w:t>智金</w:t>
      </w:r>
      <w:r>
        <w:rPr>
          <w:rFonts w:ascii="Times New Roman" w:hAnsi="Times New Roman"/>
          <w:i w:val="0"/>
          <w:iCs w:val="0"/>
          <w:color w:val="auto"/>
          <w:szCs w:val="21"/>
          <w:highlight w:val="none"/>
        </w:rPr>
        <w:t>从体系建设、制度建设、宣传推广等方面积极推进社会责任工作，在全公司范围内形成了系统化的社会责任建设思路和保障体系，积极履行社会责任已成为</w:t>
      </w:r>
      <w:r>
        <w:rPr>
          <w:rFonts w:hint="eastAsia" w:ascii="Times New Roman" w:hAnsi="Times New Roman"/>
          <w:i w:val="0"/>
          <w:iCs w:val="0"/>
          <w:color w:val="auto"/>
          <w:szCs w:val="21"/>
          <w:highlight w:val="none"/>
          <w:lang w:eastAsia="zh-CN"/>
        </w:rPr>
        <w:t>智金</w:t>
      </w:r>
      <w:r>
        <w:rPr>
          <w:rFonts w:ascii="Times New Roman" w:hAnsi="Times New Roman"/>
          <w:i w:val="0"/>
          <w:iCs w:val="0"/>
          <w:color w:val="auto"/>
          <w:szCs w:val="21"/>
          <w:highlight w:val="none"/>
        </w:rPr>
        <w:t>广大员工的共识。</w:t>
      </w:r>
    </w:p>
    <w:p w14:paraId="7E042E8A">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i w:val="0"/>
          <w:iCs w:val="0"/>
          <w:color w:val="auto"/>
          <w:szCs w:val="21"/>
          <w:highlight w:val="none"/>
        </w:rPr>
      </w:pPr>
      <w:r>
        <w:rPr>
          <w:rFonts w:ascii="Times New Roman" w:hAnsi="Times New Roman"/>
          <w:i w:val="0"/>
          <w:iCs w:val="0"/>
          <w:color w:val="auto"/>
          <w:szCs w:val="21"/>
          <w:highlight w:val="none"/>
        </w:rPr>
        <w:t>根据公司的战略发展思路，</w:t>
      </w:r>
      <w:r>
        <w:rPr>
          <w:rFonts w:hint="eastAsia" w:ascii="Times New Roman" w:hAnsi="Times New Roman"/>
          <w:i w:val="0"/>
          <w:iCs w:val="0"/>
          <w:color w:val="auto"/>
          <w:szCs w:val="21"/>
          <w:highlight w:val="none"/>
          <w:lang w:eastAsia="zh-CN"/>
        </w:rPr>
        <w:t>智金</w:t>
      </w:r>
      <w:r>
        <w:rPr>
          <w:rFonts w:ascii="Times New Roman" w:hAnsi="Times New Roman"/>
          <w:i w:val="0"/>
          <w:iCs w:val="0"/>
          <w:color w:val="auto"/>
          <w:szCs w:val="21"/>
          <w:highlight w:val="none"/>
        </w:rPr>
        <w:t>将履行社会责任作为企业发展的重要组成部分，并承诺以务实的行动模范担当好“企业公民”角色。</w:t>
      </w:r>
    </w:p>
    <w:p w14:paraId="252F73DE">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szCs w:val="21"/>
          <w:highlight w:val="none"/>
        </w:rPr>
      </w:pPr>
      <w:r>
        <w:rPr>
          <w:rFonts w:ascii="Times New Roman" w:hAnsi="Times New Roman"/>
          <w:i w:val="0"/>
          <w:iCs w:val="0"/>
          <w:color w:val="auto"/>
          <w:szCs w:val="21"/>
          <w:highlight w:val="none"/>
        </w:rPr>
        <w:t>在做好社会责任基础管理工作的前提下，</w:t>
      </w:r>
      <w:r>
        <w:rPr>
          <w:rFonts w:hint="eastAsia" w:ascii="Times New Roman" w:hAnsi="Times New Roman"/>
          <w:i w:val="0"/>
          <w:iCs w:val="0"/>
          <w:color w:val="auto"/>
          <w:szCs w:val="21"/>
          <w:highlight w:val="none"/>
          <w:lang w:eastAsia="zh-CN"/>
        </w:rPr>
        <w:t>智金</w:t>
      </w:r>
      <w:r>
        <w:rPr>
          <w:rFonts w:ascii="Times New Roman" w:hAnsi="Times New Roman"/>
          <w:i w:val="0"/>
          <w:iCs w:val="0"/>
          <w:color w:val="auto"/>
          <w:szCs w:val="21"/>
          <w:highlight w:val="none"/>
        </w:rPr>
        <w:t>审视自身</w:t>
      </w:r>
      <w:r>
        <w:rPr>
          <w:rFonts w:ascii="Times New Roman" w:hAnsi="Times New Roman"/>
          <w:szCs w:val="21"/>
          <w:highlight w:val="none"/>
        </w:rPr>
        <w:t>的发展和建设，制定了社会责任管理三年规划，明确了履行社会责任的重点工作，并根据社会责任发展情况不断完善，主要包括：</w:t>
      </w:r>
    </w:p>
    <w:p w14:paraId="18453EF5">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szCs w:val="21"/>
          <w:highlight w:val="none"/>
        </w:rPr>
      </w:pPr>
      <w:r>
        <w:rPr>
          <w:rFonts w:ascii="Times New Roman" w:hAnsi="Times New Roman"/>
          <w:szCs w:val="21"/>
          <w:highlight w:val="none"/>
        </w:rPr>
        <w:t>——加大力度贯彻落实国家“一带一路”倡议规划，加快产业向中西部转移步伐；积极响应中国纺织行业“走出去”战略，充分利用资源，为</w:t>
      </w:r>
      <w:r>
        <w:rPr>
          <w:rFonts w:hint="eastAsia" w:ascii="Times New Roman" w:hAnsi="Times New Roman"/>
          <w:szCs w:val="21"/>
          <w:highlight w:val="none"/>
          <w:lang w:val="en-US" w:eastAsia="zh-CN"/>
        </w:rPr>
        <w:t>纺织</w:t>
      </w:r>
      <w:r>
        <w:rPr>
          <w:rFonts w:ascii="Times New Roman" w:hAnsi="Times New Roman"/>
          <w:szCs w:val="21"/>
          <w:highlight w:val="none"/>
        </w:rPr>
        <w:t>产业配套和产业资本发展开辟更广阔的发展空间。</w:t>
      </w:r>
    </w:p>
    <w:p w14:paraId="03667FB9">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szCs w:val="21"/>
          <w:highlight w:val="none"/>
        </w:rPr>
        <w:t>——进一步联合上下游国内外纺织产业优势企业，加强产业链的合作，</w:t>
      </w:r>
      <w:r>
        <w:rPr>
          <w:rFonts w:ascii="Times New Roman" w:hAnsi="Times New Roman"/>
          <w:highlight w:val="none"/>
        </w:rPr>
        <w:t>推动做大做强，提高产业话语权，从源头定义时尚、创造时尚，通过创意时尚引领产业升级，助推纺织产业发展。</w:t>
      </w:r>
    </w:p>
    <w:p w14:paraId="6A1B16F0">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szCs w:val="21"/>
          <w:highlight w:val="none"/>
        </w:rPr>
      </w:pPr>
      <w:r>
        <w:rPr>
          <w:rFonts w:ascii="Times New Roman" w:hAnsi="Times New Roman"/>
          <w:szCs w:val="21"/>
          <w:highlight w:val="none"/>
        </w:rPr>
        <w:t>——继续推行</w:t>
      </w:r>
      <w:r>
        <w:rPr>
          <w:rFonts w:hint="eastAsia" w:ascii="Times New Roman" w:hAnsi="Times New Roman"/>
          <w:szCs w:val="21"/>
          <w:highlight w:val="none"/>
          <w:lang w:val="en-US" w:eastAsia="zh-CN"/>
        </w:rPr>
        <w:t>纺织</w:t>
      </w:r>
      <w:r>
        <w:rPr>
          <w:rFonts w:ascii="Times New Roman" w:hAnsi="Times New Roman"/>
          <w:szCs w:val="21"/>
          <w:highlight w:val="none"/>
        </w:rPr>
        <w:t>产业的升级换代。加大技术改造力度，淘汰落后机台和生产线，从生产环节积极推行低碳、环保理念，做到低碳、环保生产，从而降低能耗指标；同时引导</w:t>
      </w:r>
      <w:r>
        <w:rPr>
          <w:rFonts w:hint="eastAsia" w:ascii="Times New Roman" w:hAnsi="Times New Roman"/>
          <w:i w:val="0"/>
          <w:iCs w:val="0"/>
          <w:color w:val="auto"/>
          <w:szCs w:val="21"/>
          <w:highlight w:val="none"/>
          <w:lang w:eastAsia="zh-CN"/>
        </w:rPr>
        <w:t>智金</w:t>
      </w:r>
      <w:r>
        <w:rPr>
          <w:rFonts w:ascii="Times New Roman" w:hAnsi="Times New Roman"/>
          <w:szCs w:val="21"/>
          <w:highlight w:val="none"/>
        </w:rPr>
        <w:t>广大员工积极行动起来，实践低碳、环保的生活方式。</w:t>
      </w:r>
    </w:p>
    <w:p w14:paraId="519E2478">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szCs w:val="21"/>
          <w:highlight w:val="none"/>
        </w:rPr>
      </w:pPr>
      <w:r>
        <w:rPr>
          <w:rFonts w:ascii="Times New Roman" w:hAnsi="Times New Roman"/>
          <w:szCs w:val="21"/>
          <w:highlight w:val="none"/>
        </w:rPr>
        <w:t>——视人为第一要务，持续做好企业员工关爱工作，重点加强员工生活服务，切实改善员工吃、住、娱乐休闲生活，增加员工生活补贴，及时救助困难员工，深化对员工的培养力度，落实常青藤规划，系统化推动高校大学生的招聘、成长管理工作。</w:t>
      </w:r>
    </w:p>
    <w:p w14:paraId="3D4D5D2D">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ascii="Times New Roman" w:hAnsi="Times New Roman"/>
          <w:szCs w:val="21"/>
          <w:highlight w:val="none"/>
        </w:rPr>
      </w:pPr>
      <w:r>
        <w:rPr>
          <w:rFonts w:ascii="Times New Roman" w:hAnsi="Times New Roman"/>
          <w:szCs w:val="21"/>
          <w:highlight w:val="none"/>
        </w:rPr>
        <w:t>——继续在内部做好社会责任的宣传和体系完善工作，引导广大员工积极参与社会责任工作，发挥模范示范作用</w:t>
      </w:r>
      <w:r>
        <w:rPr>
          <w:rFonts w:hint="eastAsia" w:ascii="Times New Roman" w:hAnsi="Times New Roman"/>
          <w:szCs w:val="21"/>
          <w:highlight w:val="none"/>
          <w:lang w:eastAsia="zh-CN"/>
        </w:rPr>
        <w:t>，</w:t>
      </w:r>
      <w:r>
        <w:rPr>
          <w:rFonts w:ascii="Times New Roman" w:hAnsi="Times New Roman"/>
          <w:szCs w:val="21"/>
          <w:highlight w:val="none"/>
        </w:rPr>
        <w:t>发挥党员、团员和妇联成员的先锋模范作用，参与当地的社会公益工作之中。</w:t>
      </w:r>
    </w:p>
    <w:p w14:paraId="7B515C76">
      <w:pPr>
        <w:widowControl/>
        <w:tabs>
          <w:tab w:val="left" w:pos="1291"/>
        </w:tabs>
        <w:jc w:val="left"/>
        <w:rPr>
          <w:rFonts w:ascii="Times New Roman" w:hAnsi="Times New Roman"/>
          <w:szCs w:val="21"/>
          <w:highlight w:val="none"/>
        </w:rPr>
      </w:pPr>
      <w:r>
        <w:rPr>
          <w:rFonts w:ascii="Times New Roman" w:hAnsi="Times New Roman"/>
          <w:szCs w:val="21"/>
          <w:highlight w:val="none"/>
        </w:rPr>
        <mc:AlternateContent>
          <mc:Choice Requires="wps">
            <w:drawing>
              <wp:anchor distT="0" distB="0" distL="114300" distR="114300" simplePos="0" relativeHeight="251663360" behindDoc="0" locked="0" layoutInCell="1" allowOverlap="1">
                <wp:simplePos x="0" y="0"/>
                <wp:positionH relativeFrom="column">
                  <wp:posOffset>15240</wp:posOffset>
                </wp:positionH>
                <wp:positionV relativeFrom="paragraph">
                  <wp:posOffset>41275</wp:posOffset>
                </wp:positionV>
                <wp:extent cx="1327785" cy="497205"/>
                <wp:effectExtent l="0" t="0" r="13335" b="5715"/>
                <wp:wrapNone/>
                <wp:docPr id="5" name="Text Box 31"/>
                <wp:cNvGraphicFramePr/>
                <a:graphic xmlns:a="http://schemas.openxmlformats.org/drawingml/2006/main">
                  <a:graphicData uri="http://schemas.microsoft.com/office/word/2010/wordprocessingShape">
                    <wps:wsp>
                      <wps:cNvSpPr txBox="1">
                        <a:spLocks noChangeArrowheads="1"/>
                      </wps:cNvSpPr>
                      <wps:spPr bwMode="auto">
                        <a:xfrm>
                          <a:off x="0" y="0"/>
                          <a:ext cx="1327785" cy="497205"/>
                        </a:xfrm>
                        <a:prstGeom prst="rect">
                          <a:avLst/>
                        </a:prstGeom>
                        <a:solidFill>
                          <a:srgbClr val="FFFFFF"/>
                        </a:solidFill>
                        <a:ln w="9525">
                          <a:noFill/>
                          <a:miter lim="800000"/>
                        </a:ln>
                        <a:effectLst/>
                      </wps:spPr>
                      <wps:txbx>
                        <w:txbxContent>
                          <w:p w14:paraId="7E10BB76">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●责任展望</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1" o:spid="_x0000_s1026" o:spt="202" type="#_x0000_t202" style="position:absolute;left:0pt;margin-left:1.2pt;margin-top:3.25pt;height:39.15pt;width:104.55pt;z-index:251663360;mso-width-relative:page;mso-height-relative:margin;mso-height-percent:200;" fillcolor="#FFFFFF" filled="t" stroked="f" coordsize="21600,21600" o:gfxdata="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L8AsdQAAAAGAQAADwAAAAAAAAABACAAAAAiAAAAZHJzL2Rvd25yZXYueG1s&#10;UEsBAhQAFAAAAAgAh07iQKp8NoM1AgAAbAQAAA4AAAAAAAAAAQAgAAAAIwEAAGRycy9lMm9Eb2Mu&#10;eG1sUEsFBgAAAAAGAAYAWQEAAMoFAAAAAA==&#10;">
                <v:fill on="t" focussize="0,0"/>
                <v:stroke on="f" miterlimit="8" joinstyle="miter"/>
                <v:imagedata o:title=""/>
                <o:lock v:ext="edit" aspectratio="f"/>
                <v:textbox style="mso-fit-shape-to-text:t;">
                  <w:txbxContent>
                    <w:p w14:paraId="7E10BB76">
                      <w:pP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pPr>
                      <w:r>
                        <w:rPr>
                          <w:rFonts w:hint="eastAsia" w:ascii="汉仪雅酷黑 85W" w:hAnsi="汉仪雅酷黑 85W" w:eastAsia="汉仪雅酷黑 85W" w:cs="汉仪雅酷黑 85W"/>
                          <w:b/>
                          <w:bCs w:val="0"/>
                          <w:color w:val="558ED5" w:themeColor="text2" w:themeTint="99"/>
                          <w:sz w:val="32"/>
                          <w:szCs w:val="32"/>
                          <w:highlight w:val="none"/>
                          <w14:textFill>
                            <w14:solidFill>
                              <w14:schemeClr w14:val="tx2">
                                <w14:lumMod w14:val="60000"/>
                                <w14:lumOff w14:val="40000"/>
                              </w14:schemeClr>
                            </w14:solidFill>
                          </w14:textFill>
                        </w:rPr>
                        <w:t>●责任展望</w:t>
                      </w:r>
                    </w:p>
                  </w:txbxContent>
                </v:textbox>
              </v:shape>
            </w:pict>
          </mc:Fallback>
        </mc:AlternateContent>
      </w:r>
    </w:p>
    <w:p w14:paraId="54A9ABB6">
      <w:pPr>
        <w:widowControl/>
        <w:tabs>
          <w:tab w:val="left" w:pos="1291"/>
        </w:tabs>
        <w:jc w:val="left"/>
        <w:rPr>
          <w:rFonts w:ascii="Times New Roman" w:hAnsi="Times New Roman"/>
          <w:szCs w:val="21"/>
          <w:highlight w:val="none"/>
        </w:rPr>
      </w:pPr>
    </w:p>
    <w:p w14:paraId="6C7C803C">
      <w:pPr>
        <w:widowControl/>
        <w:tabs>
          <w:tab w:val="left" w:pos="1291"/>
        </w:tabs>
        <w:jc w:val="left"/>
        <w:rPr>
          <w:rFonts w:ascii="Times New Roman" w:hAnsi="Times New Roman"/>
          <w:szCs w:val="21"/>
          <w:highlight w:val="none"/>
        </w:rPr>
      </w:pPr>
    </w:p>
    <w:p w14:paraId="6AC70C6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hint="eastAsia" w:ascii="Times New Roman" w:hAnsi="Times New Roman"/>
          <w:i w:val="0"/>
          <w:iCs w:val="0"/>
          <w:color w:val="auto"/>
          <w:highlight w:val="none"/>
          <w:lang w:eastAsia="zh-CN"/>
        </w:rPr>
        <w:t>2024年</w:t>
      </w:r>
      <w:r>
        <w:rPr>
          <w:rFonts w:ascii="Times New Roman" w:hAnsi="Times New Roman"/>
          <w:i w:val="0"/>
          <w:iCs w:val="0"/>
          <w:color w:val="auto"/>
          <w:highlight w:val="none"/>
        </w:rPr>
        <w:t>，</w:t>
      </w:r>
      <w:r>
        <w:rPr>
          <w:rFonts w:hint="eastAsia" w:ascii="Times New Roman" w:hAnsi="Times New Roman"/>
          <w:i w:val="0"/>
          <w:iCs w:val="0"/>
          <w:color w:val="auto"/>
          <w:highlight w:val="none"/>
          <w:lang w:eastAsia="zh-CN"/>
        </w:rPr>
        <w:t>智金</w:t>
      </w:r>
      <w:r>
        <w:rPr>
          <w:rFonts w:ascii="Times New Roman" w:hAnsi="Times New Roman"/>
          <w:highlight w:val="none"/>
        </w:rPr>
        <w:t>仍将继续坚持绿色经济和可持续发展道路，注重经济效率和社会效率的均衡发展，带领全体员工在以下方面进行更多的努力和不懈探索：</w:t>
      </w:r>
    </w:p>
    <w:p w14:paraId="0E03F3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1、利用国家生态文明建设重点从区域转向行业，纺织行业开启生态文明建设强化之年的契机，加强环境管理体系建设，强化环境投资水平，提升在污染治理设施精细化运行和清洁生产方面的环境管理力度，促使公司的整体产业结构、污染防治和资源能源节约方面得到有效和进一步提升。</w:t>
      </w:r>
    </w:p>
    <w:p w14:paraId="3B6F0E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2、通过多种平台推动环保运动，使更多的客户和消费者了解环保优势</w:t>
      </w:r>
      <w:r>
        <w:rPr>
          <w:rFonts w:hint="eastAsia" w:ascii="Times New Roman" w:hAnsi="Times New Roman"/>
          <w:highlight w:val="none"/>
          <w:lang w:eastAsia="zh-CN"/>
        </w:rPr>
        <w:t>，</w:t>
      </w:r>
      <w:r>
        <w:rPr>
          <w:rFonts w:ascii="Times New Roman" w:hAnsi="Times New Roman"/>
          <w:highlight w:val="none"/>
        </w:rPr>
        <w:t>倡导绿色环保消费。</w:t>
      </w:r>
    </w:p>
    <w:p w14:paraId="3563E9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3、持续推动企业与社会的协同、可持续发展，大力开发环保产品，增加可持续发展原料的应用比例。</w:t>
      </w:r>
    </w:p>
    <w:p w14:paraId="5B0497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4、完善绿色产业链建设，健全审核约束机制，规范供应商在环境保护方面的行为，使绿色产业获得更大范围的拓展。</w:t>
      </w:r>
    </w:p>
    <w:p w14:paraId="2F9CD2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highlight w:val="none"/>
        </w:rPr>
      </w:pPr>
      <w:r>
        <w:rPr>
          <w:rFonts w:ascii="Times New Roman" w:hAnsi="Times New Roman"/>
          <w:highlight w:val="none"/>
        </w:rPr>
        <w:t>5、更加关注全球可持续发展和气候变化，持续深入研究产业的绿色发展之路，呼吁更多的组织和人士以多种形式关心和保护赖以生存的生态环境。</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华文楷体">
    <w:panose1 w:val="02010600040101010101"/>
    <w:charset w:val="86"/>
    <w:family w:val="auto"/>
    <w:pitch w:val="default"/>
    <w:sig w:usb0="00000287" w:usb1="080F0000" w:usb2="00000000" w:usb3="00000000" w:csb0="0004009F" w:csb1="DFD70000"/>
  </w:font>
  <w:font w:name="汉仪雅酷黑 85W">
    <w:altName w:val="黑体"/>
    <w:panose1 w:val="020B0904020202020204"/>
    <w:charset w:val="86"/>
    <w:family w:val="auto"/>
    <w:pitch w:val="default"/>
    <w:sig w:usb0="00000000" w:usb1="00000000" w:usb2="00000016" w:usb3="00000000" w:csb0="2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A25D9E">
    <w:pPr>
      <w:pStyle w:val="10"/>
      <w:tabs>
        <w:tab w:val="left" w:pos="5985"/>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97E09">
    <w:pPr>
      <w:pStyle w:val="10"/>
      <w:tabs>
        <w:tab w:val="left" w:pos="5985"/>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71C2467">
                          <w:pPr>
                            <w:pStyle w:val="10"/>
                          </w:pPr>
                          <w:r>
                            <w:fldChar w:fldCharType="begin"/>
                          </w:r>
                          <w:r>
                            <w:instrText xml:space="preserve"> PAGE  \* MERGEFORMAT </w:instrText>
                          </w:r>
                          <w:r>
                            <w:fldChar w:fldCharType="separate"/>
                          </w:r>
                          <w:r>
                            <w:t>3</w:t>
                          </w:r>
                          <w: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PpTLH5wEAAMcD&#10;AAAOAAAAAAAAAAEAIAAAAB4BAABkcnMvZTJvRG9jLnhtbFBLBQYAAAAABgAGAFkBAAB3BQAAAAA=&#10;">
              <v:fill on="f" focussize="0,0"/>
              <v:stroke on="f"/>
              <v:imagedata o:title=""/>
              <o:lock v:ext="edit" aspectratio="f"/>
              <v:textbox inset="0mm,0mm,0mm,0mm" style="mso-fit-shape-to-text:t;">
                <w:txbxContent>
                  <w:p w14:paraId="771C2467">
                    <w:pPr>
                      <w:pStyle w:val="10"/>
                    </w:pPr>
                    <w:r>
                      <w:fldChar w:fldCharType="begin"/>
                    </w:r>
                    <w:r>
                      <w:instrText xml:space="preserve"> PAGE  \* MERGEFORMAT </w:instrText>
                    </w:r>
                    <w:r>
                      <w:fldChar w:fldCharType="separate"/>
                    </w:r>
                    <w:r>
                      <w:t>3</w:t>
                    </w:r>
                    <w:r>
                      <w:fldChar w:fldCharType="end"/>
                    </w:r>
                  </w:p>
                </w:txbxContent>
              </v:textbox>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C6D97">
    <w:pPr>
      <w:pStyle w:val="11"/>
      <w:pBdr>
        <w:top w:val="none" w:color="auto" w:sz="0" w:space="1"/>
        <w:left w:val="none" w:color="auto" w:sz="0" w:space="4"/>
        <w:bottom w:val="none" w:color="auto" w:sz="0" w:space="1"/>
        <w:right w:val="none" w:color="auto" w:sz="0" w:space="4"/>
      </w:pBdr>
      <w:jc w:val="left"/>
      <w:rPr>
        <w:b/>
        <w:sz w:val="21"/>
        <w:szCs w:val="21"/>
      </w:rPr>
    </w:pPr>
  </w:p>
  <w:p w14:paraId="7833EB36">
    <w:pPr>
      <w:pStyle w:val="11"/>
      <w:pBdr>
        <w:top w:val="none" w:color="auto" w:sz="0" w:space="1"/>
        <w:left w:val="none" w:color="auto" w:sz="0" w:space="4"/>
        <w:bottom w:val="none" w:color="auto" w:sz="0" w:space="1"/>
        <w:right w:val="none" w:color="auto" w:sz="0" w:space="4"/>
      </w:pBdr>
      <w:jc w:val="right"/>
      <w:rPr>
        <w:rFonts w:ascii="华文楷体" w:hAnsi="华文楷体" w:eastAsia="华文楷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03B5C">
    <w:pPr>
      <w:pStyle w:val="11"/>
      <w:jc w:val="left"/>
      <w:rPr>
        <w:b/>
        <w:sz w:val="21"/>
        <w:szCs w:val="21"/>
      </w:rPr>
    </w:pPr>
  </w:p>
  <w:p w14:paraId="1A0A7585">
    <w:pPr>
      <w:pStyle w:val="11"/>
      <w:jc w:val="right"/>
      <w:rPr>
        <w:rFonts w:ascii="华文楷体" w:hAnsi="华文楷体" w:eastAsia="华文楷体"/>
      </w:rPr>
    </w:pPr>
    <w:r>
      <w:rPr>
        <w:rFonts w:hint="eastAsia" w:ascii="华文楷体" w:hAnsi="华文楷体" w:eastAsia="华文楷体"/>
        <w:b/>
        <w:sz w:val="21"/>
        <w:szCs w:val="21"/>
        <w:lang w:val="en-US" w:eastAsia="zh-CN"/>
      </w:rPr>
      <w:t>上海智金电器</w:t>
    </w:r>
    <w:r>
      <w:rPr>
        <w:rFonts w:hint="eastAsia" w:ascii="华文楷体" w:hAnsi="华文楷体" w:eastAsia="华文楷体"/>
        <w:b/>
        <w:sz w:val="21"/>
        <w:szCs w:val="21"/>
      </w:rPr>
      <w:t>有限公司社会责任报告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2NTljYjEzNjg2MjJiNDdmNTRjMjY1NWU3NmVlNGMifQ=="/>
  </w:docVars>
  <w:rsids>
    <w:rsidRoot w:val="00F26F08"/>
    <w:rsid w:val="00002CE2"/>
    <w:rsid w:val="000056DA"/>
    <w:rsid w:val="00020CCC"/>
    <w:rsid w:val="0002175E"/>
    <w:rsid w:val="00025CDA"/>
    <w:rsid w:val="00032485"/>
    <w:rsid w:val="0003355F"/>
    <w:rsid w:val="00033A2B"/>
    <w:rsid w:val="00034A0C"/>
    <w:rsid w:val="00034FBD"/>
    <w:rsid w:val="0004104E"/>
    <w:rsid w:val="00042871"/>
    <w:rsid w:val="00045151"/>
    <w:rsid w:val="0004574F"/>
    <w:rsid w:val="0004712F"/>
    <w:rsid w:val="00051009"/>
    <w:rsid w:val="000520E8"/>
    <w:rsid w:val="00052DB8"/>
    <w:rsid w:val="0006044C"/>
    <w:rsid w:val="000604E3"/>
    <w:rsid w:val="0006326C"/>
    <w:rsid w:val="00064841"/>
    <w:rsid w:val="00064B30"/>
    <w:rsid w:val="000660C2"/>
    <w:rsid w:val="00066440"/>
    <w:rsid w:val="000734BF"/>
    <w:rsid w:val="00074098"/>
    <w:rsid w:val="00075F48"/>
    <w:rsid w:val="00076038"/>
    <w:rsid w:val="000761AF"/>
    <w:rsid w:val="00081BB0"/>
    <w:rsid w:val="00084816"/>
    <w:rsid w:val="00091DF2"/>
    <w:rsid w:val="000920BE"/>
    <w:rsid w:val="00093170"/>
    <w:rsid w:val="00093CE4"/>
    <w:rsid w:val="0009428D"/>
    <w:rsid w:val="000967E1"/>
    <w:rsid w:val="000A11F9"/>
    <w:rsid w:val="000A1772"/>
    <w:rsid w:val="000A734F"/>
    <w:rsid w:val="000A757B"/>
    <w:rsid w:val="000A7594"/>
    <w:rsid w:val="000B1C77"/>
    <w:rsid w:val="000B33B5"/>
    <w:rsid w:val="000B49AF"/>
    <w:rsid w:val="000B6441"/>
    <w:rsid w:val="000C3491"/>
    <w:rsid w:val="000C3C88"/>
    <w:rsid w:val="000C4386"/>
    <w:rsid w:val="000C6B92"/>
    <w:rsid w:val="000D25EB"/>
    <w:rsid w:val="000D47E9"/>
    <w:rsid w:val="000D65C8"/>
    <w:rsid w:val="000D7B52"/>
    <w:rsid w:val="000E1D39"/>
    <w:rsid w:val="000E24A5"/>
    <w:rsid w:val="000E4DC2"/>
    <w:rsid w:val="000F05FE"/>
    <w:rsid w:val="000F357E"/>
    <w:rsid w:val="000F4719"/>
    <w:rsid w:val="000F520C"/>
    <w:rsid w:val="000F7905"/>
    <w:rsid w:val="001011AC"/>
    <w:rsid w:val="00103017"/>
    <w:rsid w:val="00103F3C"/>
    <w:rsid w:val="00104149"/>
    <w:rsid w:val="00105F08"/>
    <w:rsid w:val="001068D3"/>
    <w:rsid w:val="00112A8B"/>
    <w:rsid w:val="00112CC8"/>
    <w:rsid w:val="00113E9E"/>
    <w:rsid w:val="00114037"/>
    <w:rsid w:val="001141D4"/>
    <w:rsid w:val="001159FD"/>
    <w:rsid w:val="00116330"/>
    <w:rsid w:val="00120566"/>
    <w:rsid w:val="0012161D"/>
    <w:rsid w:val="00124E4F"/>
    <w:rsid w:val="00125677"/>
    <w:rsid w:val="0012760C"/>
    <w:rsid w:val="0012791F"/>
    <w:rsid w:val="00127F73"/>
    <w:rsid w:val="001311A1"/>
    <w:rsid w:val="00132135"/>
    <w:rsid w:val="00133AC3"/>
    <w:rsid w:val="00135552"/>
    <w:rsid w:val="00135DB8"/>
    <w:rsid w:val="0014163D"/>
    <w:rsid w:val="00145B54"/>
    <w:rsid w:val="0014791E"/>
    <w:rsid w:val="001531BF"/>
    <w:rsid w:val="00155738"/>
    <w:rsid w:val="001575BA"/>
    <w:rsid w:val="001603AB"/>
    <w:rsid w:val="00160566"/>
    <w:rsid w:val="001627BC"/>
    <w:rsid w:val="001628BC"/>
    <w:rsid w:val="0016380F"/>
    <w:rsid w:val="00163968"/>
    <w:rsid w:val="001649FA"/>
    <w:rsid w:val="00165F88"/>
    <w:rsid w:val="00166AE1"/>
    <w:rsid w:val="00170C85"/>
    <w:rsid w:val="00171D28"/>
    <w:rsid w:val="001755D2"/>
    <w:rsid w:val="001756A7"/>
    <w:rsid w:val="0017707B"/>
    <w:rsid w:val="00177F20"/>
    <w:rsid w:val="00181B0A"/>
    <w:rsid w:val="00181C2A"/>
    <w:rsid w:val="001821AE"/>
    <w:rsid w:val="00182D93"/>
    <w:rsid w:val="00185465"/>
    <w:rsid w:val="00186D51"/>
    <w:rsid w:val="001937BE"/>
    <w:rsid w:val="001954AF"/>
    <w:rsid w:val="001A12CD"/>
    <w:rsid w:val="001A15BF"/>
    <w:rsid w:val="001A2305"/>
    <w:rsid w:val="001A2FA2"/>
    <w:rsid w:val="001A39CE"/>
    <w:rsid w:val="001B1D08"/>
    <w:rsid w:val="001B25ED"/>
    <w:rsid w:val="001B314F"/>
    <w:rsid w:val="001B7BEF"/>
    <w:rsid w:val="001C0DB6"/>
    <w:rsid w:val="001C356A"/>
    <w:rsid w:val="001C39EF"/>
    <w:rsid w:val="001C50D7"/>
    <w:rsid w:val="001C666F"/>
    <w:rsid w:val="001C7C8D"/>
    <w:rsid w:val="001D563C"/>
    <w:rsid w:val="001E24DE"/>
    <w:rsid w:val="001E6288"/>
    <w:rsid w:val="001E7899"/>
    <w:rsid w:val="001E7F8A"/>
    <w:rsid w:val="001F073B"/>
    <w:rsid w:val="001F0A67"/>
    <w:rsid w:val="001F1249"/>
    <w:rsid w:val="001F238F"/>
    <w:rsid w:val="001F24BE"/>
    <w:rsid w:val="001F3DDA"/>
    <w:rsid w:val="001F4AFE"/>
    <w:rsid w:val="001F5225"/>
    <w:rsid w:val="001F617B"/>
    <w:rsid w:val="001F6D63"/>
    <w:rsid w:val="001F7B7F"/>
    <w:rsid w:val="00201350"/>
    <w:rsid w:val="002028EE"/>
    <w:rsid w:val="00202C0C"/>
    <w:rsid w:val="00206A58"/>
    <w:rsid w:val="00207EB2"/>
    <w:rsid w:val="00212671"/>
    <w:rsid w:val="00212F16"/>
    <w:rsid w:val="002130AC"/>
    <w:rsid w:val="00213B73"/>
    <w:rsid w:val="00214B27"/>
    <w:rsid w:val="002153ED"/>
    <w:rsid w:val="00215B7D"/>
    <w:rsid w:val="0021643D"/>
    <w:rsid w:val="00216474"/>
    <w:rsid w:val="002176D5"/>
    <w:rsid w:val="00221253"/>
    <w:rsid w:val="00223CE4"/>
    <w:rsid w:val="002258DC"/>
    <w:rsid w:val="00226B23"/>
    <w:rsid w:val="002336F7"/>
    <w:rsid w:val="00234104"/>
    <w:rsid w:val="002372E4"/>
    <w:rsid w:val="00242721"/>
    <w:rsid w:val="00247330"/>
    <w:rsid w:val="00251C51"/>
    <w:rsid w:val="00251CF5"/>
    <w:rsid w:val="00257880"/>
    <w:rsid w:val="002624AF"/>
    <w:rsid w:val="00265D9D"/>
    <w:rsid w:val="00266D0A"/>
    <w:rsid w:val="00267FDC"/>
    <w:rsid w:val="00272A92"/>
    <w:rsid w:val="00272DF5"/>
    <w:rsid w:val="00274480"/>
    <w:rsid w:val="002754BC"/>
    <w:rsid w:val="00276787"/>
    <w:rsid w:val="00280412"/>
    <w:rsid w:val="0028103C"/>
    <w:rsid w:val="0028508B"/>
    <w:rsid w:val="002867AF"/>
    <w:rsid w:val="0028702B"/>
    <w:rsid w:val="00291C8A"/>
    <w:rsid w:val="0029253B"/>
    <w:rsid w:val="00293E37"/>
    <w:rsid w:val="002947A4"/>
    <w:rsid w:val="00296B4F"/>
    <w:rsid w:val="00296CC1"/>
    <w:rsid w:val="00297607"/>
    <w:rsid w:val="002A3242"/>
    <w:rsid w:val="002A33E5"/>
    <w:rsid w:val="002A41DE"/>
    <w:rsid w:val="002A60E4"/>
    <w:rsid w:val="002A7ED5"/>
    <w:rsid w:val="002B1152"/>
    <w:rsid w:val="002B29B7"/>
    <w:rsid w:val="002B6425"/>
    <w:rsid w:val="002C0B33"/>
    <w:rsid w:val="002C2DC6"/>
    <w:rsid w:val="002C486D"/>
    <w:rsid w:val="002C4B8D"/>
    <w:rsid w:val="002C6C35"/>
    <w:rsid w:val="002C78D0"/>
    <w:rsid w:val="002C7A0E"/>
    <w:rsid w:val="002D07E4"/>
    <w:rsid w:val="002D25F7"/>
    <w:rsid w:val="002D2657"/>
    <w:rsid w:val="002D6D43"/>
    <w:rsid w:val="002D6FBC"/>
    <w:rsid w:val="002D7181"/>
    <w:rsid w:val="002D7436"/>
    <w:rsid w:val="002D7738"/>
    <w:rsid w:val="002E1A41"/>
    <w:rsid w:val="002E22A5"/>
    <w:rsid w:val="002E27C7"/>
    <w:rsid w:val="002E2A45"/>
    <w:rsid w:val="002E2A51"/>
    <w:rsid w:val="002E2CA1"/>
    <w:rsid w:val="002E2EE8"/>
    <w:rsid w:val="002E3824"/>
    <w:rsid w:val="002E643A"/>
    <w:rsid w:val="002E7107"/>
    <w:rsid w:val="002F0443"/>
    <w:rsid w:val="002F17AF"/>
    <w:rsid w:val="002F3520"/>
    <w:rsid w:val="002F4079"/>
    <w:rsid w:val="002F5EE4"/>
    <w:rsid w:val="003016C0"/>
    <w:rsid w:val="00304590"/>
    <w:rsid w:val="00305D41"/>
    <w:rsid w:val="0030714F"/>
    <w:rsid w:val="00307410"/>
    <w:rsid w:val="0031104B"/>
    <w:rsid w:val="00314C93"/>
    <w:rsid w:val="00321D25"/>
    <w:rsid w:val="0032375F"/>
    <w:rsid w:val="00324652"/>
    <w:rsid w:val="00324CB9"/>
    <w:rsid w:val="00324FA2"/>
    <w:rsid w:val="00326F6D"/>
    <w:rsid w:val="003303D5"/>
    <w:rsid w:val="00333265"/>
    <w:rsid w:val="00335A3B"/>
    <w:rsid w:val="003364C2"/>
    <w:rsid w:val="00337500"/>
    <w:rsid w:val="0033757F"/>
    <w:rsid w:val="00337B3E"/>
    <w:rsid w:val="00342EC5"/>
    <w:rsid w:val="0034364D"/>
    <w:rsid w:val="00346DD1"/>
    <w:rsid w:val="00346EDA"/>
    <w:rsid w:val="00347C0D"/>
    <w:rsid w:val="003541BB"/>
    <w:rsid w:val="00354EEF"/>
    <w:rsid w:val="00362934"/>
    <w:rsid w:val="00362F94"/>
    <w:rsid w:val="003636B9"/>
    <w:rsid w:val="00364A72"/>
    <w:rsid w:val="0036659E"/>
    <w:rsid w:val="00366EE7"/>
    <w:rsid w:val="003674D0"/>
    <w:rsid w:val="00370B50"/>
    <w:rsid w:val="00372EFD"/>
    <w:rsid w:val="00375CC3"/>
    <w:rsid w:val="003763EB"/>
    <w:rsid w:val="0037664A"/>
    <w:rsid w:val="00382261"/>
    <w:rsid w:val="00382287"/>
    <w:rsid w:val="0038413C"/>
    <w:rsid w:val="00384548"/>
    <w:rsid w:val="0038797C"/>
    <w:rsid w:val="0039175F"/>
    <w:rsid w:val="003A0A7D"/>
    <w:rsid w:val="003A2B46"/>
    <w:rsid w:val="003A6911"/>
    <w:rsid w:val="003A6E82"/>
    <w:rsid w:val="003B026C"/>
    <w:rsid w:val="003B217B"/>
    <w:rsid w:val="003B2BA1"/>
    <w:rsid w:val="003B368B"/>
    <w:rsid w:val="003B377F"/>
    <w:rsid w:val="003B49DD"/>
    <w:rsid w:val="003B56EB"/>
    <w:rsid w:val="003C1204"/>
    <w:rsid w:val="003C1CB2"/>
    <w:rsid w:val="003C3B0E"/>
    <w:rsid w:val="003C6D94"/>
    <w:rsid w:val="003C6F3F"/>
    <w:rsid w:val="003D0667"/>
    <w:rsid w:val="003D0CEE"/>
    <w:rsid w:val="003D35F8"/>
    <w:rsid w:val="003D3A92"/>
    <w:rsid w:val="003D5544"/>
    <w:rsid w:val="003D7C60"/>
    <w:rsid w:val="003E1B5C"/>
    <w:rsid w:val="003E20D5"/>
    <w:rsid w:val="003E316C"/>
    <w:rsid w:val="003E5485"/>
    <w:rsid w:val="003E7055"/>
    <w:rsid w:val="003E72E2"/>
    <w:rsid w:val="003E782B"/>
    <w:rsid w:val="003F6BC0"/>
    <w:rsid w:val="003F7247"/>
    <w:rsid w:val="003F7A6A"/>
    <w:rsid w:val="004019A0"/>
    <w:rsid w:val="00402866"/>
    <w:rsid w:val="00402A0A"/>
    <w:rsid w:val="004109F2"/>
    <w:rsid w:val="00415511"/>
    <w:rsid w:val="004168B3"/>
    <w:rsid w:val="004171F4"/>
    <w:rsid w:val="004203D1"/>
    <w:rsid w:val="00421682"/>
    <w:rsid w:val="004233E6"/>
    <w:rsid w:val="004247EF"/>
    <w:rsid w:val="00424C07"/>
    <w:rsid w:val="00431843"/>
    <w:rsid w:val="00436F92"/>
    <w:rsid w:val="004474F2"/>
    <w:rsid w:val="00451057"/>
    <w:rsid w:val="00455767"/>
    <w:rsid w:val="004564C9"/>
    <w:rsid w:val="00460651"/>
    <w:rsid w:val="00472662"/>
    <w:rsid w:val="004742A1"/>
    <w:rsid w:val="00474E75"/>
    <w:rsid w:val="004769CD"/>
    <w:rsid w:val="00481501"/>
    <w:rsid w:val="004832DA"/>
    <w:rsid w:val="00484086"/>
    <w:rsid w:val="004844AC"/>
    <w:rsid w:val="004855D5"/>
    <w:rsid w:val="0048664F"/>
    <w:rsid w:val="00490718"/>
    <w:rsid w:val="00490860"/>
    <w:rsid w:val="00490A4F"/>
    <w:rsid w:val="004914BA"/>
    <w:rsid w:val="00492F52"/>
    <w:rsid w:val="00495152"/>
    <w:rsid w:val="004A02B2"/>
    <w:rsid w:val="004A267E"/>
    <w:rsid w:val="004A2FE1"/>
    <w:rsid w:val="004A68F1"/>
    <w:rsid w:val="004A74C6"/>
    <w:rsid w:val="004B0C63"/>
    <w:rsid w:val="004B1073"/>
    <w:rsid w:val="004B4B29"/>
    <w:rsid w:val="004C132E"/>
    <w:rsid w:val="004C1B10"/>
    <w:rsid w:val="004C2489"/>
    <w:rsid w:val="004C5F75"/>
    <w:rsid w:val="004C6AB8"/>
    <w:rsid w:val="004D30C2"/>
    <w:rsid w:val="004D6576"/>
    <w:rsid w:val="004E3DEF"/>
    <w:rsid w:val="004E4290"/>
    <w:rsid w:val="004E487D"/>
    <w:rsid w:val="004E7767"/>
    <w:rsid w:val="004F2768"/>
    <w:rsid w:val="004F7763"/>
    <w:rsid w:val="00504441"/>
    <w:rsid w:val="0050556A"/>
    <w:rsid w:val="0050561F"/>
    <w:rsid w:val="0050566D"/>
    <w:rsid w:val="0050675E"/>
    <w:rsid w:val="00507CA2"/>
    <w:rsid w:val="005112C7"/>
    <w:rsid w:val="00513EF8"/>
    <w:rsid w:val="00514329"/>
    <w:rsid w:val="005216FA"/>
    <w:rsid w:val="005222C0"/>
    <w:rsid w:val="005251D3"/>
    <w:rsid w:val="005270DF"/>
    <w:rsid w:val="005300E6"/>
    <w:rsid w:val="00530122"/>
    <w:rsid w:val="00531792"/>
    <w:rsid w:val="00531BAC"/>
    <w:rsid w:val="00531D94"/>
    <w:rsid w:val="00532769"/>
    <w:rsid w:val="005329E0"/>
    <w:rsid w:val="00532B26"/>
    <w:rsid w:val="005334D0"/>
    <w:rsid w:val="005345ED"/>
    <w:rsid w:val="00534FAF"/>
    <w:rsid w:val="00536131"/>
    <w:rsid w:val="005373AE"/>
    <w:rsid w:val="00541175"/>
    <w:rsid w:val="005438FB"/>
    <w:rsid w:val="005461D5"/>
    <w:rsid w:val="00546642"/>
    <w:rsid w:val="0055073D"/>
    <w:rsid w:val="00553CC2"/>
    <w:rsid w:val="00554C4A"/>
    <w:rsid w:val="00556B91"/>
    <w:rsid w:val="00560152"/>
    <w:rsid w:val="00560441"/>
    <w:rsid w:val="00562327"/>
    <w:rsid w:val="0056599F"/>
    <w:rsid w:val="0056746A"/>
    <w:rsid w:val="00570811"/>
    <w:rsid w:val="00573591"/>
    <w:rsid w:val="00576D22"/>
    <w:rsid w:val="0058029D"/>
    <w:rsid w:val="0058072F"/>
    <w:rsid w:val="005901D5"/>
    <w:rsid w:val="00593DE7"/>
    <w:rsid w:val="0059461E"/>
    <w:rsid w:val="005A4359"/>
    <w:rsid w:val="005B0A9F"/>
    <w:rsid w:val="005B13FE"/>
    <w:rsid w:val="005B1A68"/>
    <w:rsid w:val="005B26A8"/>
    <w:rsid w:val="005B450D"/>
    <w:rsid w:val="005C5411"/>
    <w:rsid w:val="005C71C3"/>
    <w:rsid w:val="005C7272"/>
    <w:rsid w:val="005D2C7A"/>
    <w:rsid w:val="005D4488"/>
    <w:rsid w:val="005D5D24"/>
    <w:rsid w:val="005E3346"/>
    <w:rsid w:val="005E6BCE"/>
    <w:rsid w:val="005E6EC9"/>
    <w:rsid w:val="005E75DA"/>
    <w:rsid w:val="005F16B9"/>
    <w:rsid w:val="005F170A"/>
    <w:rsid w:val="005F5741"/>
    <w:rsid w:val="005F7F65"/>
    <w:rsid w:val="00601318"/>
    <w:rsid w:val="0060494A"/>
    <w:rsid w:val="00605CFB"/>
    <w:rsid w:val="00606B7D"/>
    <w:rsid w:val="00610E13"/>
    <w:rsid w:val="00613E31"/>
    <w:rsid w:val="00620284"/>
    <w:rsid w:val="00624D39"/>
    <w:rsid w:val="00625EC4"/>
    <w:rsid w:val="00627A25"/>
    <w:rsid w:val="0063167F"/>
    <w:rsid w:val="00632C5D"/>
    <w:rsid w:val="00634018"/>
    <w:rsid w:val="00634777"/>
    <w:rsid w:val="006407EC"/>
    <w:rsid w:val="00640832"/>
    <w:rsid w:val="0064203F"/>
    <w:rsid w:val="0064396D"/>
    <w:rsid w:val="00643C82"/>
    <w:rsid w:val="00643DF5"/>
    <w:rsid w:val="0064557E"/>
    <w:rsid w:val="00645BC2"/>
    <w:rsid w:val="0064649F"/>
    <w:rsid w:val="00651F89"/>
    <w:rsid w:val="006525AF"/>
    <w:rsid w:val="00655E41"/>
    <w:rsid w:val="00657D6F"/>
    <w:rsid w:val="00660089"/>
    <w:rsid w:val="0066041F"/>
    <w:rsid w:val="00660D3B"/>
    <w:rsid w:val="00661FF9"/>
    <w:rsid w:val="006638EC"/>
    <w:rsid w:val="006658FD"/>
    <w:rsid w:val="00665A38"/>
    <w:rsid w:val="00671BC4"/>
    <w:rsid w:val="00672FC4"/>
    <w:rsid w:val="00674776"/>
    <w:rsid w:val="00675F5E"/>
    <w:rsid w:val="0068182E"/>
    <w:rsid w:val="00682CFE"/>
    <w:rsid w:val="00683887"/>
    <w:rsid w:val="00683B8C"/>
    <w:rsid w:val="00684971"/>
    <w:rsid w:val="006850E5"/>
    <w:rsid w:val="006871A6"/>
    <w:rsid w:val="00687C2F"/>
    <w:rsid w:val="006920C4"/>
    <w:rsid w:val="00693EA2"/>
    <w:rsid w:val="00694493"/>
    <w:rsid w:val="006944B4"/>
    <w:rsid w:val="006950D3"/>
    <w:rsid w:val="00696F18"/>
    <w:rsid w:val="00697547"/>
    <w:rsid w:val="006A1AE5"/>
    <w:rsid w:val="006A2B6C"/>
    <w:rsid w:val="006A5DE5"/>
    <w:rsid w:val="006A7869"/>
    <w:rsid w:val="006B028B"/>
    <w:rsid w:val="006B0C0B"/>
    <w:rsid w:val="006B57A5"/>
    <w:rsid w:val="006B5E02"/>
    <w:rsid w:val="006C13BD"/>
    <w:rsid w:val="006C1863"/>
    <w:rsid w:val="006C1B86"/>
    <w:rsid w:val="006C1F62"/>
    <w:rsid w:val="006C2476"/>
    <w:rsid w:val="006C3230"/>
    <w:rsid w:val="006C35A8"/>
    <w:rsid w:val="006C4C3B"/>
    <w:rsid w:val="006C5E43"/>
    <w:rsid w:val="006C6242"/>
    <w:rsid w:val="006C683B"/>
    <w:rsid w:val="006C6AA0"/>
    <w:rsid w:val="006D19EE"/>
    <w:rsid w:val="006D2AE1"/>
    <w:rsid w:val="006D3381"/>
    <w:rsid w:val="006D5DD6"/>
    <w:rsid w:val="006D7DA9"/>
    <w:rsid w:val="006E28C6"/>
    <w:rsid w:val="006F0938"/>
    <w:rsid w:val="006F1AB5"/>
    <w:rsid w:val="006F291F"/>
    <w:rsid w:val="006F3257"/>
    <w:rsid w:val="006F4A93"/>
    <w:rsid w:val="006F708B"/>
    <w:rsid w:val="006F778F"/>
    <w:rsid w:val="006F7E58"/>
    <w:rsid w:val="00701823"/>
    <w:rsid w:val="007052DD"/>
    <w:rsid w:val="00705D8A"/>
    <w:rsid w:val="007072F2"/>
    <w:rsid w:val="0072166F"/>
    <w:rsid w:val="007226C5"/>
    <w:rsid w:val="00723451"/>
    <w:rsid w:val="00723FE1"/>
    <w:rsid w:val="00724A69"/>
    <w:rsid w:val="00724A7C"/>
    <w:rsid w:val="00725201"/>
    <w:rsid w:val="00726B9C"/>
    <w:rsid w:val="00734792"/>
    <w:rsid w:val="007353DE"/>
    <w:rsid w:val="00743172"/>
    <w:rsid w:val="007457AF"/>
    <w:rsid w:val="00745C2F"/>
    <w:rsid w:val="00746811"/>
    <w:rsid w:val="00746912"/>
    <w:rsid w:val="0075242B"/>
    <w:rsid w:val="007527A8"/>
    <w:rsid w:val="00752932"/>
    <w:rsid w:val="007536C6"/>
    <w:rsid w:val="0075404E"/>
    <w:rsid w:val="00757285"/>
    <w:rsid w:val="00757A92"/>
    <w:rsid w:val="007620F7"/>
    <w:rsid w:val="007625D9"/>
    <w:rsid w:val="00762939"/>
    <w:rsid w:val="007714EA"/>
    <w:rsid w:val="0077212A"/>
    <w:rsid w:val="007725F0"/>
    <w:rsid w:val="00782B09"/>
    <w:rsid w:val="007935C2"/>
    <w:rsid w:val="00795D0E"/>
    <w:rsid w:val="00795F57"/>
    <w:rsid w:val="007A17E8"/>
    <w:rsid w:val="007A34E1"/>
    <w:rsid w:val="007A3517"/>
    <w:rsid w:val="007A4AFB"/>
    <w:rsid w:val="007A5ACA"/>
    <w:rsid w:val="007B05CA"/>
    <w:rsid w:val="007B0669"/>
    <w:rsid w:val="007B1D6A"/>
    <w:rsid w:val="007B2A29"/>
    <w:rsid w:val="007B4D80"/>
    <w:rsid w:val="007B53A7"/>
    <w:rsid w:val="007B53B4"/>
    <w:rsid w:val="007B55A5"/>
    <w:rsid w:val="007B664D"/>
    <w:rsid w:val="007B7AE9"/>
    <w:rsid w:val="007B7D51"/>
    <w:rsid w:val="007C017B"/>
    <w:rsid w:val="007C1F5A"/>
    <w:rsid w:val="007C4651"/>
    <w:rsid w:val="007C4F3C"/>
    <w:rsid w:val="007C7F1B"/>
    <w:rsid w:val="007D2365"/>
    <w:rsid w:val="007D25CD"/>
    <w:rsid w:val="007D3B6B"/>
    <w:rsid w:val="007D488B"/>
    <w:rsid w:val="007E1D81"/>
    <w:rsid w:val="007E26C6"/>
    <w:rsid w:val="007E3622"/>
    <w:rsid w:val="007E51BD"/>
    <w:rsid w:val="007E7C64"/>
    <w:rsid w:val="007F026D"/>
    <w:rsid w:val="007F2E9D"/>
    <w:rsid w:val="007F4A7A"/>
    <w:rsid w:val="007F5C19"/>
    <w:rsid w:val="007F5D37"/>
    <w:rsid w:val="00801F63"/>
    <w:rsid w:val="008049D7"/>
    <w:rsid w:val="008057F9"/>
    <w:rsid w:val="00812FFD"/>
    <w:rsid w:val="00815DC5"/>
    <w:rsid w:val="0082100C"/>
    <w:rsid w:val="0082633C"/>
    <w:rsid w:val="00827E93"/>
    <w:rsid w:val="00840E21"/>
    <w:rsid w:val="00841B42"/>
    <w:rsid w:val="0085195D"/>
    <w:rsid w:val="00854F05"/>
    <w:rsid w:val="008571AC"/>
    <w:rsid w:val="00857EEA"/>
    <w:rsid w:val="00860C0B"/>
    <w:rsid w:val="00861040"/>
    <w:rsid w:val="00866FBC"/>
    <w:rsid w:val="00872045"/>
    <w:rsid w:val="00873333"/>
    <w:rsid w:val="00876B19"/>
    <w:rsid w:val="008772A2"/>
    <w:rsid w:val="00880014"/>
    <w:rsid w:val="00884502"/>
    <w:rsid w:val="008862BB"/>
    <w:rsid w:val="00887FF4"/>
    <w:rsid w:val="00892EEF"/>
    <w:rsid w:val="00894E5E"/>
    <w:rsid w:val="0089525E"/>
    <w:rsid w:val="008956EC"/>
    <w:rsid w:val="008A5BC0"/>
    <w:rsid w:val="008B0C33"/>
    <w:rsid w:val="008B0C95"/>
    <w:rsid w:val="008B14CB"/>
    <w:rsid w:val="008B165C"/>
    <w:rsid w:val="008B18A7"/>
    <w:rsid w:val="008B19FE"/>
    <w:rsid w:val="008B29D4"/>
    <w:rsid w:val="008B316B"/>
    <w:rsid w:val="008B55A5"/>
    <w:rsid w:val="008B6625"/>
    <w:rsid w:val="008B7115"/>
    <w:rsid w:val="008C0134"/>
    <w:rsid w:val="008C3307"/>
    <w:rsid w:val="008C6BF6"/>
    <w:rsid w:val="008D2648"/>
    <w:rsid w:val="008D2F11"/>
    <w:rsid w:val="008D4CAC"/>
    <w:rsid w:val="008E1BED"/>
    <w:rsid w:val="008E5223"/>
    <w:rsid w:val="008E5D52"/>
    <w:rsid w:val="008E6067"/>
    <w:rsid w:val="008E7CF5"/>
    <w:rsid w:val="008F15DE"/>
    <w:rsid w:val="008F1714"/>
    <w:rsid w:val="008F1BE7"/>
    <w:rsid w:val="008F25B4"/>
    <w:rsid w:val="008F294B"/>
    <w:rsid w:val="008F2AF2"/>
    <w:rsid w:val="008F5ABB"/>
    <w:rsid w:val="008F6ED5"/>
    <w:rsid w:val="008F7613"/>
    <w:rsid w:val="00900972"/>
    <w:rsid w:val="009026DE"/>
    <w:rsid w:val="009121E1"/>
    <w:rsid w:val="00927971"/>
    <w:rsid w:val="009308CD"/>
    <w:rsid w:val="009350C7"/>
    <w:rsid w:val="009411B5"/>
    <w:rsid w:val="009428E9"/>
    <w:rsid w:val="00943C9A"/>
    <w:rsid w:val="00945577"/>
    <w:rsid w:val="00947396"/>
    <w:rsid w:val="00952D2B"/>
    <w:rsid w:val="009645A9"/>
    <w:rsid w:val="00965796"/>
    <w:rsid w:val="00965880"/>
    <w:rsid w:val="00965B53"/>
    <w:rsid w:val="00974939"/>
    <w:rsid w:val="00975B80"/>
    <w:rsid w:val="009843CF"/>
    <w:rsid w:val="00985ABB"/>
    <w:rsid w:val="009860F0"/>
    <w:rsid w:val="0099296D"/>
    <w:rsid w:val="0099550E"/>
    <w:rsid w:val="009A45B1"/>
    <w:rsid w:val="009A5D54"/>
    <w:rsid w:val="009A6CB9"/>
    <w:rsid w:val="009A6FCB"/>
    <w:rsid w:val="009B0C17"/>
    <w:rsid w:val="009B171A"/>
    <w:rsid w:val="009B1AF8"/>
    <w:rsid w:val="009B7069"/>
    <w:rsid w:val="009C0DD5"/>
    <w:rsid w:val="009C1CF7"/>
    <w:rsid w:val="009C6B4D"/>
    <w:rsid w:val="009D2317"/>
    <w:rsid w:val="009D508C"/>
    <w:rsid w:val="009D7170"/>
    <w:rsid w:val="009D7902"/>
    <w:rsid w:val="009E45EF"/>
    <w:rsid w:val="009F2D36"/>
    <w:rsid w:val="009F5B4A"/>
    <w:rsid w:val="009F7FA1"/>
    <w:rsid w:val="00A13314"/>
    <w:rsid w:val="00A1451B"/>
    <w:rsid w:val="00A148F9"/>
    <w:rsid w:val="00A248D1"/>
    <w:rsid w:val="00A254EA"/>
    <w:rsid w:val="00A271FE"/>
    <w:rsid w:val="00A33E3F"/>
    <w:rsid w:val="00A34F92"/>
    <w:rsid w:val="00A3515A"/>
    <w:rsid w:val="00A46638"/>
    <w:rsid w:val="00A46A43"/>
    <w:rsid w:val="00A46ED1"/>
    <w:rsid w:val="00A514BE"/>
    <w:rsid w:val="00A51F1E"/>
    <w:rsid w:val="00A57111"/>
    <w:rsid w:val="00A6016B"/>
    <w:rsid w:val="00A6056F"/>
    <w:rsid w:val="00A6077E"/>
    <w:rsid w:val="00A61165"/>
    <w:rsid w:val="00A61581"/>
    <w:rsid w:val="00A627B6"/>
    <w:rsid w:val="00A642AA"/>
    <w:rsid w:val="00A6530E"/>
    <w:rsid w:val="00A6576E"/>
    <w:rsid w:val="00A71485"/>
    <w:rsid w:val="00A72132"/>
    <w:rsid w:val="00A72892"/>
    <w:rsid w:val="00A73DC6"/>
    <w:rsid w:val="00A756C4"/>
    <w:rsid w:val="00A76805"/>
    <w:rsid w:val="00A81F90"/>
    <w:rsid w:val="00A84A89"/>
    <w:rsid w:val="00A85DB1"/>
    <w:rsid w:val="00A86579"/>
    <w:rsid w:val="00A9093B"/>
    <w:rsid w:val="00A91933"/>
    <w:rsid w:val="00A92763"/>
    <w:rsid w:val="00A9312F"/>
    <w:rsid w:val="00A955E6"/>
    <w:rsid w:val="00A95A43"/>
    <w:rsid w:val="00A95DC3"/>
    <w:rsid w:val="00A96942"/>
    <w:rsid w:val="00A971D6"/>
    <w:rsid w:val="00A9743D"/>
    <w:rsid w:val="00A97517"/>
    <w:rsid w:val="00A97953"/>
    <w:rsid w:val="00AA2408"/>
    <w:rsid w:val="00AA4AC4"/>
    <w:rsid w:val="00AA4C6E"/>
    <w:rsid w:val="00AA5425"/>
    <w:rsid w:val="00AA5F65"/>
    <w:rsid w:val="00AA639D"/>
    <w:rsid w:val="00AB0D9A"/>
    <w:rsid w:val="00AB13CF"/>
    <w:rsid w:val="00AB1F25"/>
    <w:rsid w:val="00AB2F98"/>
    <w:rsid w:val="00AB4953"/>
    <w:rsid w:val="00AB6BFB"/>
    <w:rsid w:val="00AB72A3"/>
    <w:rsid w:val="00AC0044"/>
    <w:rsid w:val="00AC11DD"/>
    <w:rsid w:val="00AC6133"/>
    <w:rsid w:val="00AC64E5"/>
    <w:rsid w:val="00AD1B7D"/>
    <w:rsid w:val="00AD1CF8"/>
    <w:rsid w:val="00AD1ECA"/>
    <w:rsid w:val="00AD2E1C"/>
    <w:rsid w:val="00AD42D6"/>
    <w:rsid w:val="00AD446D"/>
    <w:rsid w:val="00AE007B"/>
    <w:rsid w:val="00AE20B6"/>
    <w:rsid w:val="00AE402C"/>
    <w:rsid w:val="00AE5909"/>
    <w:rsid w:val="00AE7AF7"/>
    <w:rsid w:val="00AF3ED2"/>
    <w:rsid w:val="00AF45F5"/>
    <w:rsid w:val="00AF492A"/>
    <w:rsid w:val="00B0226B"/>
    <w:rsid w:val="00B0311A"/>
    <w:rsid w:val="00B07B23"/>
    <w:rsid w:val="00B100F8"/>
    <w:rsid w:val="00B11E54"/>
    <w:rsid w:val="00B12DDC"/>
    <w:rsid w:val="00B13AFE"/>
    <w:rsid w:val="00B14E2F"/>
    <w:rsid w:val="00B15058"/>
    <w:rsid w:val="00B15D38"/>
    <w:rsid w:val="00B15F40"/>
    <w:rsid w:val="00B17103"/>
    <w:rsid w:val="00B239CB"/>
    <w:rsid w:val="00B2542F"/>
    <w:rsid w:val="00B36B91"/>
    <w:rsid w:val="00B37B35"/>
    <w:rsid w:val="00B40B33"/>
    <w:rsid w:val="00B50C36"/>
    <w:rsid w:val="00B51CF3"/>
    <w:rsid w:val="00B52B1C"/>
    <w:rsid w:val="00B54BEB"/>
    <w:rsid w:val="00B551F3"/>
    <w:rsid w:val="00B55242"/>
    <w:rsid w:val="00B61414"/>
    <w:rsid w:val="00B627E5"/>
    <w:rsid w:val="00B647C2"/>
    <w:rsid w:val="00B668E2"/>
    <w:rsid w:val="00B66C9D"/>
    <w:rsid w:val="00B66EB6"/>
    <w:rsid w:val="00B67F80"/>
    <w:rsid w:val="00B70740"/>
    <w:rsid w:val="00B70835"/>
    <w:rsid w:val="00B75ED0"/>
    <w:rsid w:val="00B819FF"/>
    <w:rsid w:val="00B81FF2"/>
    <w:rsid w:val="00B84506"/>
    <w:rsid w:val="00B90DCF"/>
    <w:rsid w:val="00B93116"/>
    <w:rsid w:val="00B932F7"/>
    <w:rsid w:val="00BA1567"/>
    <w:rsid w:val="00BA6823"/>
    <w:rsid w:val="00BA69BA"/>
    <w:rsid w:val="00BA755E"/>
    <w:rsid w:val="00BB3BC8"/>
    <w:rsid w:val="00BB4A82"/>
    <w:rsid w:val="00BC133F"/>
    <w:rsid w:val="00BC2221"/>
    <w:rsid w:val="00BC3699"/>
    <w:rsid w:val="00BC3A44"/>
    <w:rsid w:val="00BC418E"/>
    <w:rsid w:val="00BC53B4"/>
    <w:rsid w:val="00BC77F8"/>
    <w:rsid w:val="00BC77F9"/>
    <w:rsid w:val="00BD0727"/>
    <w:rsid w:val="00BD0E07"/>
    <w:rsid w:val="00BD297F"/>
    <w:rsid w:val="00BD2C2E"/>
    <w:rsid w:val="00BD7DFB"/>
    <w:rsid w:val="00BE075D"/>
    <w:rsid w:val="00BE200C"/>
    <w:rsid w:val="00BE6C3E"/>
    <w:rsid w:val="00BE7E8B"/>
    <w:rsid w:val="00BF11C4"/>
    <w:rsid w:val="00BF13D7"/>
    <w:rsid w:val="00BF14A8"/>
    <w:rsid w:val="00BF46A7"/>
    <w:rsid w:val="00BF4A6D"/>
    <w:rsid w:val="00BF566B"/>
    <w:rsid w:val="00BF67B1"/>
    <w:rsid w:val="00C02561"/>
    <w:rsid w:val="00C04721"/>
    <w:rsid w:val="00C04C8D"/>
    <w:rsid w:val="00C11A8B"/>
    <w:rsid w:val="00C135F5"/>
    <w:rsid w:val="00C15ECC"/>
    <w:rsid w:val="00C164D6"/>
    <w:rsid w:val="00C169D2"/>
    <w:rsid w:val="00C16D6E"/>
    <w:rsid w:val="00C220E5"/>
    <w:rsid w:val="00C2353D"/>
    <w:rsid w:val="00C23924"/>
    <w:rsid w:val="00C27840"/>
    <w:rsid w:val="00C27F80"/>
    <w:rsid w:val="00C31EA4"/>
    <w:rsid w:val="00C35B21"/>
    <w:rsid w:val="00C35F2C"/>
    <w:rsid w:val="00C37E0D"/>
    <w:rsid w:val="00C407B3"/>
    <w:rsid w:val="00C4108D"/>
    <w:rsid w:val="00C44325"/>
    <w:rsid w:val="00C47C69"/>
    <w:rsid w:val="00C512E6"/>
    <w:rsid w:val="00C52E76"/>
    <w:rsid w:val="00C53BBF"/>
    <w:rsid w:val="00C53FD0"/>
    <w:rsid w:val="00C542B7"/>
    <w:rsid w:val="00C65148"/>
    <w:rsid w:val="00C6517C"/>
    <w:rsid w:val="00C66BF2"/>
    <w:rsid w:val="00C70DC8"/>
    <w:rsid w:val="00C72624"/>
    <w:rsid w:val="00C76F61"/>
    <w:rsid w:val="00C8570E"/>
    <w:rsid w:val="00C8590B"/>
    <w:rsid w:val="00C86441"/>
    <w:rsid w:val="00C8692E"/>
    <w:rsid w:val="00C86DF9"/>
    <w:rsid w:val="00C873C9"/>
    <w:rsid w:val="00C9269D"/>
    <w:rsid w:val="00C9415F"/>
    <w:rsid w:val="00C95155"/>
    <w:rsid w:val="00C956AA"/>
    <w:rsid w:val="00CA2861"/>
    <w:rsid w:val="00CA33FA"/>
    <w:rsid w:val="00CA60F4"/>
    <w:rsid w:val="00CA6469"/>
    <w:rsid w:val="00CA6596"/>
    <w:rsid w:val="00CA68E1"/>
    <w:rsid w:val="00CB0F96"/>
    <w:rsid w:val="00CB1C77"/>
    <w:rsid w:val="00CB2A65"/>
    <w:rsid w:val="00CB2C28"/>
    <w:rsid w:val="00CB38D1"/>
    <w:rsid w:val="00CB5E0F"/>
    <w:rsid w:val="00CC30F5"/>
    <w:rsid w:val="00CC3B94"/>
    <w:rsid w:val="00CC3D76"/>
    <w:rsid w:val="00CC4675"/>
    <w:rsid w:val="00CC490D"/>
    <w:rsid w:val="00CC62C2"/>
    <w:rsid w:val="00CD174A"/>
    <w:rsid w:val="00CD197F"/>
    <w:rsid w:val="00CD57D4"/>
    <w:rsid w:val="00CE240A"/>
    <w:rsid w:val="00CE2E21"/>
    <w:rsid w:val="00CE3BED"/>
    <w:rsid w:val="00CE562B"/>
    <w:rsid w:val="00CE6391"/>
    <w:rsid w:val="00CE6CFE"/>
    <w:rsid w:val="00CE7862"/>
    <w:rsid w:val="00CF21B0"/>
    <w:rsid w:val="00CF41B6"/>
    <w:rsid w:val="00D009D6"/>
    <w:rsid w:val="00D027B5"/>
    <w:rsid w:val="00D03C68"/>
    <w:rsid w:val="00D04456"/>
    <w:rsid w:val="00D061E1"/>
    <w:rsid w:val="00D106C8"/>
    <w:rsid w:val="00D10E56"/>
    <w:rsid w:val="00D13481"/>
    <w:rsid w:val="00D13D74"/>
    <w:rsid w:val="00D1454C"/>
    <w:rsid w:val="00D146B9"/>
    <w:rsid w:val="00D14960"/>
    <w:rsid w:val="00D14DC2"/>
    <w:rsid w:val="00D14E6B"/>
    <w:rsid w:val="00D16057"/>
    <w:rsid w:val="00D1677B"/>
    <w:rsid w:val="00D24618"/>
    <w:rsid w:val="00D25207"/>
    <w:rsid w:val="00D308E5"/>
    <w:rsid w:val="00D31AAA"/>
    <w:rsid w:val="00D34C86"/>
    <w:rsid w:val="00D3515C"/>
    <w:rsid w:val="00D35A2A"/>
    <w:rsid w:val="00D4018F"/>
    <w:rsid w:val="00D414B4"/>
    <w:rsid w:val="00D43289"/>
    <w:rsid w:val="00D43CF6"/>
    <w:rsid w:val="00D45816"/>
    <w:rsid w:val="00D50FD6"/>
    <w:rsid w:val="00D52F4D"/>
    <w:rsid w:val="00D552CE"/>
    <w:rsid w:val="00D56548"/>
    <w:rsid w:val="00D57899"/>
    <w:rsid w:val="00D602AD"/>
    <w:rsid w:val="00D64D6F"/>
    <w:rsid w:val="00D72E01"/>
    <w:rsid w:val="00D8336E"/>
    <w:rsid w:val="00D8556C"/>
    <w:rsid w:val="00D85E4D"/>
    <w:rsid w:val="00D87067"/>
    <w:rsid w:val="00D87DAF"/>
    <w:rsid w:val="00D913F8"/>
    <w:rsid w:val="00D9298D"/>
    <w:rsid w:val="00D942B5"/>
    <w:rsid w:val="00DA3E2A"/>
    <w:rsid w:val="00DA4F01"/>
    <w:rsid w:val="00DA6A1D"/>
    <w:rsid w:val="00DB1E7E"/>
    <w:rsid w:val="00DB51D7"/>
    <w:rsid w:val="00DC0B32"/>
    <w:rsid w:val="00DD14DC"/>
    <w:rsid w:val="00DD1992"/>
    <w:rsid w:val="00DD1D09"/>
    <w:rsid w:val="00DD3FBB"/>
    <w:rsid w:val="00DD4C25"/>
    <w:rsid w:val="00DD61B8"/>
    <w:rsid w:val="00DD7A1C"/>
    <w:rsid w:val="00DE0DA9"/>
    <w:rsid w:val="00DE14D2"/>
    <w:rsid w:val="00DE2394"/>
    <w:rsid w:val="00DE4817"/>
    <w:rsid w:val="00DF501C"/>
    <w:rsid w:val="00DF6846"/>
    <w:rsid w:val="00E031EA"/>
    <w:rsid w:val="00E05B8A"/>
    <w:rsid w:val="00E07289"/>
    <w:rsid w:val="00E1239E"/>
    <w:rsid w:val="00E130B8"/>
    <w:rsid w:val="00E130E0"/>
    <w:rsid w:val="00E15B49"/>
    <w:rsid w:val="00E20D58"/>
    <w:rsid w:val="00E21E3F"/>
    <w:rsid w:val="00E22232"/>
    <w:rsid w:val="00E2257F"/>
    <w:rsid w:val="00E405AC"/>
    <w:rsid w:val="00E42897"/>
    <w:rsid w:val="00E504B0"/>
    <w:rsid w:val="00E51053"/>
    <w:rsid w:val="00E52B1A"/>
    <w:rsid w:val="00E533B5"/>
    <w:rsid w:val="00E5413E"/>
    <w:rsid w:val="00E607E7"/>
    <w:rsid w:val="00E6185A"/>
    <w:rsid w:val="00E61D3B"/>
    <w:rsid w:val="00E61F35"/>
    <w:rsid w:val="00E647F2"/>
    <w:rsid w:val="00E66729"/>
    <w:rsid w:val="00E673BF"/>
    <w:rsid w:val="00E67BB2"/>
    <w:rsid w:val="00E70057"/>
    <w:rsid w:val="00E706EB"/>
    <w:rsid w:val="00E73889"/>
    <w:rsid w:val="00E77B70"/>
    <w:rsid w:val="00E81640"/>
    <w:rsid w:val="00E92BB9"/>
    <w:rsid w:val="00E950FD"/>
    <w:rsid w:val="00E95B37"/>
    <w:rsid w:val="00E96611"/>
    <w:rsid w:val="00EA01CE"/>
    <w:rsid w:val="00EA1163"/>
    <w:rsid w:val="00EA13ED"/>
    <w:rsid w:val="00EA17BA"/>
    <w:rsid w:val="00EA2A5B"/>
    <w:rsid w:val="00EA2EE3"/>
    <w:rsid w:val="00EB4402"/>
    <w:rsid w:val="00EB611C"/>
    <w:rsid w:val="00EB6FF8"/>
    <w:rsid w:val="00EC3753"/>
    <w:rsid w:val="00EC400C"/>
    <w:rsid w:val="00EC6634"/>
    <w:rsid w:val="00EC6A70"/>
    <w:rsid w:val="00ED05A6"/>
    <w:rsid w:val="00ED1036"/>
    <w:rsid w:val="00ED321B"/>
    <w:rsid w:val="00ED3FBA"/>
    <w:rsid w:val="00ED5C07"/>
    <w:rsid w:val="00ED7FA7"/>
    <w:rsid w:val="00EE07FA"/>
    <w:rsid w:val="00EE7E2B"/>
    <w:rsid w:val="00EE7EB4"/>
    <w:rsid w:val="00EF0BB1"/>
    <w:rsid w:val="00EF79EB"/>
    <w:rsid w:val="00F00C1D"/>
    <w:rsid w:val="00F0270A"/>
    <w:rsid w:val="00F04E05"/>
    <w:rsid w:val="00F04E37"/>
    <w:rsid w:val="00F07C4C"/>
    <w:rsid w:val="00F1258E"/>
    <w:rsid w:val="00F12E7A"/>
    <w:rsid w:val="00F13C57"/>
    <w:rsid w:val="00F14474"/>
    <w:rsid w:val="00F14993"/>
    <w:rsid w:val="00F217DE"/>
    <w:rsid w:val="00F22111"/>
    <w:rsid w:val="00F22C14"/>
    <w:rsid w:val="00F2316A"/>
    <w:rsid w:val="00F23E5A"/>
    <w:rsid w:val="00F26F08"/>
    <w:rsid w:val="00F3034E"/>
    <w:rsid w:val="00F30B98"/>
    <w:rsid w:val="00F337F5"/>
    <w:rsid w:val="00F3635A"/>
    <w:rsid w:val="00F36D23"/>
    <w:rsid w:val="00F40A93"/>
    <w:rsid w:val="00F41080"/>
    <w:rsid w:val="00F42173"/>
    <w:rsid w:val="00F447CC"/>
    <w:rsid w:val="00F506B6"/>
    <w:rsid w:val="00F51D2D"/>
    <w:rsid w:val="00F52FC5"/>
    <w:rsid w:val="00F63BC4"/>
    <w:rsid w:val="00F64E78"/>
    <w:rsid w:val="00F71909"/>
    <w:rsid w:val="00F723AE"/>
    <w:rsid w:val="00F72699"/>
    <w:rsid w:val="00F728E8"/>
    <w:rsid w:val="00F72A76"/>
    <w:rsid w:val="00F735A6"/>
    <w:rsid w:val="00F7509E"/>
    <w:rsid w:val="00F754AF"/>
    <w:rsid w:val="00F75882"/>
    <w:rsid w:val="00F77C83"/>
    <w:rsid w:val="00F8207C"/>
    <w:rsid w:val="00F85826"/>
    <w:rsid w:val="00F910B1"/>
    <w:rsid w:val="00FA0298"/>
    <w:rsid w:val="00FA3007"/>
    <w:rsid w:val="00FA66E0"/>
    <w:rsid w:val="00FB097A"/>
    <w:rsid w:val="00FB1874"/>
    <w:rsid w:val="00FB3B8B"/>
    <w:rsid w:val="00FB5B56"/>
    <w:rsid w:val="00FC0802"/>
    <w:rsid w:val="00FC4CA0"/>
    <w:rsid w:val="00FC57E1"/>
    <w:rsid w:val="00FD058C"/>
    <w:rsid w:val="00FD23D4"/>
    <w:rsid w:val="00FD5570"/>
    <w:rsid w:val="00FE3157"/>
    <w:rsid w:val="00FE5FCA"/>
    <w:rsid w:val="00FF1710"/>
    <w:rsid w:val="00FF3188"/>
    <w:rsid w:val="00FF3BF0"/>
    <w:rsid w:val="00FF3D32"/>
    <w:rsid w:val="00FF5161"/>
    <w:rsid w:val="00FF5C34"/>
    <w:rsid w:val="00FF6352"/>
    <w:rsid w:val="051B14D1"/>
    <w:rsid w:val="0EF92DA5"/>
    <w:rsid w:val="13690505"/>
    <w:rsid w:val="199829B2"/>
    <w:rsid w:val="19F82AC3"/>
    <w:rsid w:val="1A01018F"/>
    <w:rsid w:val="1A092364"/>
    <w:rsid w:val="1C42159C"/>
    <w:rsid w:val="1C493F61"/>
    <w:rsid w:val="298C3AA9"/>
    <w:rsid w:val="2AD0042F"/>
    <w:rsid w:val="2EB01911"/>
    <w:rsid w:val="2F9B627B"/>
    <w:rsid w:val="31BF37B2"/>
    <w:rsid w:val="38B37142"/>
    <w:rsid w:val="3B324CC0"/>
    <w:rsid w:val="3D6B6951"/>
    <w:rsid w:val="40011C8E"/>
    <w:rsid w:val="417836A0"/>
    <w:rsid w:val="48254277"/>
    <w:rsid w:val="53941DC0"/>
    <w:rsid w:val="5646250E"/>
    <w:rsid w:val="599E5290"/>
    <w:rsid w:val="5BF23A5D"/>
    <w:rsid w:val="5DEF60A0"/>
    <w:rsid w:val="5E4F64AE"/>
    <w:rsid w:val="5FF958F4"/>
    <w:rsid w:val="603140E9"/>
    <w:rsid w:val="62213A03"/>
    <w:rsid w:val="66C84940"/>
    <w:rsid w:val="67384BAB"/>
    <w:rsid w:val="68E40C6F"/>
    <w:rsid w:val="71955061"/>
    <w:rsid w:val="71C41075"/>
    <w:rsid w:val="74B04D72"/>
    <w:rsid w:val="7A2E3EB3"/>
    <w:rsid w:val="7A3253F1"/>
    <w:rsid w:val="7BB55E2E"/>
    <w:rsid w:val="7D48073D"/>
    <w:rsid w:val="7DCC14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autoRedefine/>
    <w:qFormat/>
    <w:uiPriority w:val="9"/>
    <w:pPr>
      <w:keepNext/>
      <w:keepLines/>
      <w:widowControl/>
      <w:spacing w:before="340" w:after="330" w:line="578" w:lineRule="auto"/>
      <w:outlineLvl w:val="0"/>
    </w:pPr>
    <w:rPr>
      <w:rFonts w:cs="Calibri"/>
      <w:b/>
      <w:bCs/>
      <w:kern w:val="44"/>
      <w:sz w:val="44"/>
      <w:szCs w:val="44"/>
    </w:rPr>
  </w:style>
  <w:style w:type="paragraph" w:styleId="3">
    <w:name w:val="heading 2"/>
    <w:basedOn w:val="1"/>
    <w:next w:val="1"/>
    <w:link w:val="24"/>
    <w:unhideWhenUsed/>
    <w:qFormat/>
    <w:uiPriority w:val="9"/>
    <w:pPr>
      <w:keepNext/>
      <w:keepLines/>
      <w:widowControl/>
      <w:spacing w:before="260" w:after="260" w:line="416" w:lineRule="auto"/>
      <w:outlineLvl w:val="1"/>
    </w:pPr>
    <w:rPr>
      <w:rFonts w:asciiTheme="majorHAnsi" w:hAnsiTheme="majorHAnsi" w:eastAsiaTheme="majorEastAsia" w:cstheme="majorBidi"/>
      <w:b/>
      <w:bCs/>
      <w:kern w:val="0"/>
      <w:sz w:val="32"/>
      <w:szCs w:val="32"/>
    </w:rPr>
  </w:style>
  <w:style w:type="paragraph" w:styleId="4">
    <w:name w:val="heading 3"/>
    <w:basedOn w:val="1"/>
    <w:next w:val="1"/>
    <w:link w:val="25"/>
    <w:unhideWhenUsed/>
    <w:qFormat/>
    <w:uiPriority w:val="9"/>
    <w:pPr>
      <w:keepNext/>
      <w:keepLines/>
      <w:widowControl/>
      <w:spacing w:before="260" w:after="260" w:line="416" w:lineRule="auto"/>
      <w:outlineLvl w:val="2"/>
    </w:pPr>
    <w:rPr>
      <w:rFonts w:cs="Calibri"/>
      <w:b/>
      <w:bCs/>
      <w:kern w:val="0"/>
      <w:sz w:val="32"/>
      <w:szCs w:val="32"/>
    </w:rPr>
  </w:style>
  <w:style w:type="character" w:default="1" w:styleId="18">
    <w:name w:val="Default Paragraph Font"/>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26"/>
    <w:unhideWhenUsed/>
    <w:qFormat/>
    <w:uiPriority w:val="99"/>
    <w:pPr>
      <w:jc w:val="left"/>
    </w:pPr>
  </w:style>
  <w:style w:type="paragraph" w:styleId="6">
    <w:name w:val="Body Text Indent"/>
    <w:basedOn w:val="1"/>
    <w:link w:val="32"/>
    <w:qFormat/>
    <w:uiPriority w:val="0"/>
    <w:pPr>
      <w:spacing w:line="600" w:lineRule="atLeast"/>
      <w:ind w:firstLine="560" w:firstLineChars="200"/>
    </w:pPr>
    <w:rPr>
      <w:rFonts w:ascii="Times New Roman" w:hAnsi="Times New Roman"/>
      <w:sz w:val="28"/>
      <w:szCs w:val="24"/>
    </w:rPr>
  </w:style>
  <w:style w:type="paragraph" w:styleId="7">
    <w:name w:val="toc 3"/>
    <w:basedOn w:val="1"/>
    <w:next w:val="1"/>
    <w:autoRedefine/>
    <w:semiHidden/>
    <w:unhideWhenUsed/>
    <w:qFormat/>
    <w:uiPriority w:val="39"/>
    <w:pPr>
      <w:widowControl/>
      <w:spacing w:after="100" w:line="276" w:lineRule="auto"/>
      <w:ind w:left="440"/>
      <w:jc w:val="left"/>
    </w:pPr>
    <w:rPr>
      <w:rFonts w:asciiTheme="minorHAnsi" w:hAnsiTheme="minorHAnsi" w:eastAsiaTheme="minorEastAsia" w:cstheme="minorBidi"/>
      <w:kern w:val="0"/>
      <w:sz w:val="22"/>
    </w:rPr>
  </w:style>
  <w:style w:type="paragraph" w:styleId="8">
    <w:name w:val="Plain Text"/>
    <w:basedOn w:val="1"/>
    <w:link w:val="36"/>
    <w:unhideWhenUsed/>
    <w:qFormat/>
    <w:uiPriority w:val="99"/>
    <w:pPr>
      <w:jc w:val="left"/>
    </w:pPr>
    <w:rPr>
      <w:rFonts w:hAnsi="Courier New" w:cs="Courier New"/>
      <w:szCs w:val="21"/>
    </w:rPr>
  </w:style>
  <w:style w:type="paragraph" w:styleId="9">
    <w:name w:val="Balloon Text"/>
    <w:basedOn w:val="1"/>
    <w:link w:val="27"/>
    <w:autoRedefine/>
    <w:unhideWhenUsed/>
    <w:qFormat/>
    <w:uiPriority w:val="99"/>
    <w:rPr>
      <w:sz w:val="18"/>
      <w:szCs w:val="18"/>
    </w:rPr>
  </w:style>
  <w:style w:type="paragraph" w:styleId="10">
    <w:name w:val="footer"/>
    <w:basedOn w:val="1"/>
    <w:link w:val="29"/>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semiHidden/>
    <w:unhideWhenUsed/>
    <w:qFormat/>
    <w:uiPriority w:val="39"/>
    <w:pPr>
      <w:widowControl/>
      <w:spacing w:after="100" w:line="276" w:lineRule="auto"/>
      <w:jc w:val="left"/>
    </w:pPr>
    <w:rPr>
      <w:rFonts w:asciiTheme="minorHAnsi" w:hAnsiTheme="minorHAnsi" w:eastAsiaTheme="minorEastAsia" w:cstheme="minorBidi"/>
      <w:kern w:val="0"/>
      <w:sz w:val="22"/>
    </w:rPr>
  </w:style>
  <w:style w:type="paragraph" w:styleId="13">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rPr>
  </w:style>
  <w:style w:type="paragraph" w:styleId="14">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annotation subject"/>
    <w:basedOn w:val="5"/>
    <w:next w:val="5"/>
    <w:link w:val="31"/>
    <w:autoRedefine/>
    <w:unhideWhenUsed/>
    <w:qFormat/>
    <w:uiPriority w:val="99"/>
    <w:rPr>
      <w:b/>
      <w:bCs/>
    </w:rPr>
  </w:style>
  <w:style w:type="table" w:styleId="17">
    <w:name w:val="Table Grid"/>
    <w:basedOn w:val="16"/>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rPr>
  </w:style>
  <w:style w:type="character" w:styleId="20">
    <w:name w:val="Emphasis"/>
    <w:basedOn w:val="18"/>
    <w:qFormat/>
    <w:uiPriority w:val="20"/>
    <w:rPr>
      <w:i/>
      <w:iCs/>
    </w:rPr>
  </w:style>
  <w:style w:type="character" w:styleId="21">
    <w:name w:val="Hyperlink"/>
    <w:basedOn w:val="18"/>
    <w:unhideWhenUsed/>
    <w:qFormat/>
    <w:uiPriority w:val="99"/>
    <w:rPr>
      <w:color w:val="0000FF" w:themeColor="hyperlink"/>
      <w:u w:val="single"/>
      <w14:textFill>
        <w14:solidFill>
          <w14:schemeClr w14:val="hlink"/>
        </w14:solidFill>
      </w14:textFill>
    </w:rPr>
  </w:style>
  <w:style w:type="character" w:styleId="22">
    <w:name w:val="annotation reference"/>
    <w:basedOn w:val="18"/>
    <w:unhideWhenUsed/>
    <w:qFormat/>
    <w:uiPriority w:val="99"/>
    <w:rPr>
      <w:sz w:val="21"/>
      <w:szCs w:val="21"/>
    </w:rPr>
  </w:style>
  <w:style w:type="character" w:customStyle="1" w:styleId="23">
    <w:name w:val="标题 1 Char"/>
    <w:basedOn w:val="18"/>
    <w:link w:val="2"/>
    <w:autoRedefine/>
    <w:qFormat/>
    <w:uiPriority w:val="9"/>
    <w:rPr>
      <w:rFonts w:ascii="Calibri" w:hAnsi="Calibri" w:eastAsia="宋体" w:cs="Calibri"/>
      <w:b/>
      <w:bCs/>
      <w:kern w:val="44"/>
      <w:sz w:val="44"/>
      <w:szCs w:val="44"/>
    </w:rPr>
  </w:style>
  <w:style w:type="character" w:customStyle="1" w:styleId="24">
    <w:name w:val="标题 2 Char"/>
    <w:basedOn w:val="18"/>
    <w:link w:val="3"/>
    <w:autoRedefine/>
    <w:qFormat/>
    <w:uiPriority w:val="9"/>
    <w:rPr>
      <w:rFonts w:asciiTheme="majorHAnsi" w:hAnsiTheme="majorHAnsi" w:eastAsiaTheme="majorEastAsia" w:cstheme="majorBidi"/>
      <w:b/>
      <w:bCs/>
      <w:kern w:val="0"/>
      <w:sz w:val="32"/>
      <w:szCs w:val="32"/>
    </w:rPr>
  </w:style>
  <w:style w:type="character" w:customStyle="1" w:styleId="25">
    <w:name w:val="标题 3 Char"/>
    <w:basedOn w:val="18"/>
    <w:link w:val="4"/>
    <w:autoRedefine/>
    <w:qFormat/>
    <w:uiPriority w:val="9"/>
    <w:rPr>
      <w:rFonts w:ascii="Calibri" w:hAnsi="Calibri" w:eastAsia="宋体" w:cs="Calibri"/>
      <w:b/>
      <w:bCs/>
      <w:kern w:val="0"/>
      <w:sz w:val="32"/>
      <w:szCs w:val="32"/>
    </w:rPr>
  </w:style>
  <w:style w:type="character" w:customStyle="1" w:styleId="26">
    <w:name w:val="批注文字 Char"/>
    <w:basedOn w:val="18"/>
    <w:link w:val="5"/>
    <w:autoRedefine/>
    <w:qFormat/>
    <w:uiPriority w:val="99"/>
    <w:rPr>
      <w:rFonts w:ascii="Calibri" w:hAnsi="Calibri" w:eastAsia="宋体" w:cs="Times New Roman"/>
    </w:rPr>
  </w:style>
  <w:style w:type="character" w:customStyle="1" w:styleId="27">
    <w:name w:val="批注框文本 Char"/>
    <w:basedOn w:val="18"/>
    <w:link w:val="9"/>
    <w:autoRedefine/>
    <w:semiHidden/>
    <w:qFormat/>
    <w:uiPriority w:val="99"/>
    <w:rPr>
      <w:rFonts w:ascii="Calibri" w:hAnsi="Calibri" w:eastAsia="宋体" w:cs="Times New Roman"/>
      <w:sz w:val="18"/>
      <w:szCs w:val="18"/>
    </w:rPr>
  </w:style>
  <w:style w:type="character" w:customStyle="1" w:styleId="28">
    <w:name w:val="页眉 Char"/>
    <w:basedOn w:val="18"/>
    <w:link w:val="11"/>
    <w:autoRedefine/>
    <w:qFormat/>
    <w:uiPriority w:val="99"/>
    <w:rPr>
      <w:rFonts w:ascii="Calibri" w:hAnsi="Calibri" w:eastAsia="宋体" w:cs="Times New Roman"/>
      <w:sz w:val="18"/>
      <w:szCs w:val="18"/>
    </w:rPr>
  </w:style>
  <w:style w:type="character" w:customStyle="1" w:styleId="29">
    <w:name w:val="页脚 Char"/>
    <w:basedOn w:val="18"/>
    <w:link w:val="10"/>
    <w:autoRedefine/>
    <w:qFormat/>
    <w:uiPriority w:val="99"/>
    <w:rPr>
      <w:rFonts w:ascii="Calibri" w:hAnsi="Calibri" w:eastAsia="宋体" w:cs="Times New Roman"/>
      <w:sz w:val="18"/>
      <w:szCs w:val="18"/>
    </w:rPr>
  </w:style>
  <w:style w:type="paragraph" w:customStyle="1" w:styleId="30">
    <w:name w:val="列出段落1"/>
    <w:basedOn w:val="1"/>
    <w:qFormat/>
    <w:uiPriority w:val="34"/>
    <w:pPr>
      <w:ind w:firstLine="420" w:firstLineChars="200"/>
    </w:pPr>
    <w:rPr>
      <w:rFonts w:asciiTheme="minorHAnsi" w:hAnsiTheme="minorHAnsi" w:eastAsiaTheme="minorEastAsia" w:cstheme="minorBidi"/>
    </w:rPr>
  </w:style>
  <w:style w:type="character" w:customStyle="1" w:styleId="31">
    <w:name w:val="批注主题 Char"/>
    <w:basedOn w:val="26"/>
    <w:link w:val="15"/>
    <w:autoRedefine/>
    <w:semiHidden/>
    <w:qFormat/>
    <w:uiPriority w:val="99"/>
    <w:rPr>
      <w:rFonts w:ascii="Calibri" w:hAnsi="Calibri" w:eastAsia="宋体" w:cs="Times New Roman"/>
      <w:b/>
      <w:bCs/>
    </w:rPr>
  </w:style>
  <w:style w:type="character" w:customStyle="1" w:styleId="32">
    <w:name w:val="正文文本缩进 Char"/>
    <w:basedOn w:val="18"/>
    <w:link w:val="6"/>
    <w:autoRedefine/>
    <w:qFormat/>
    <w:uiPriority w:val="0"/>
    <w:rPr>
      <w:rFonts w:ascii="Times New Roman" w:hAnsi="Times New Roman" w:eastAsia="宋体" w:cs="Times New Roman"/>
      <w:sz w:val="28"/>
      <w:szCs w:val="24"/>
    </w:rPr>
  </w:style>
  <w:style w:type="paragraph" w:customStyle="1" w:styleId="33">
    <w:name w:val="无间隔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34">
    <w:name w:val="列出段落11"/>
    <w:basedOn w:val="1"/>
    <w:autoRedefine/>
    <w:qFormat/>
    <w:uiPriority w:val="34"/>
    <w:pPr>
      <w:ind w:firstLine="420" w:firstLineChars="200"/>
    </w:pPr>
  </w:style>
  <w:style w:type="character" w:customStyle="1" w:styleId="35">
    <w:name w:val="headline-content2"/>
    <w:basedOn w:val="18"/>
    <w:autoRedefine/>
    <w:qFormat/>
    <w:uiPriority w:val="0"/>
  </w:style>
  <w:style w:type="character" w:customStyle="1" w:styleId="36">
    <w:name w:val="纯文本 Char"/>
    <w:basedOn w:val="18"/>
    <w:link w:val="8"/>
    <w:autoRedefine/>
    <w:qFormat/>
    <w:uiPriority w:val="99"/>
    <w:rPr>
      <w:rFonts w:ascii="Calibri" w:hAnsi="Courier New" w:eastAsia="宋体" w:cs="Courier New"/>
      <w:szCs w:val="21"/>
    </w:rPr>
  </w:style>
  <w:style w:type="character" w:customStyle="1" w:styleId="37">
    <w:name w:val="tw4winMark"/>
    <w:qFormat/>
    <w:uiPriority w:val="0"/>
    <w:rPr>
      <w:vanish/>
      <w:color w:val="800080"/>
      <w:vertAlign w:val="subscript"/>
    </w:rPr>
  </w:style>
  <w:style w:type="paragraph" w:styleId="38">
    <w:name w:val="List Paragraph"/>
    <w:basedOn w:val="1"/>
    <w:autoRedefine/>
    <w:qFormat/>
    <w:uiPriority w:val="34"/>
    <w:pPr>
      <w:ind w:firstLine="420" w:firstLineChars="200"/>
    </w:pPr>
  </w:style>
  <w:style w:type="character" w:customStyle="1" w:styleId="39">
    <w:name w:val="apple-converted-space"/>
    <w:basedOn w:val="18"/>
    <w:autoRedefine/>
    <w:qFormat/>
    <w:uiPriority w:val="0"/>
  </w:style>
  <w:style w:type="paragraph" w:customStyle="1" w:styleId="40">
    <w:name w:val="TOC 标题1"/>
    <w:basedOn w:val="2"/>
    <w:next w:val="1"/>
    <w:autoRedefine/>
    <w:semiHidden/>
    <w:unhideWhenUsed/>
    <w:qFormat/>
    <w:uiPriority w:val="39"/>
    <w:pPr>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A1E9A-2A99-49EB-8972-17AB7CFA6EA6}">
  <ds:schemaRefs/>
</ds:datastoreItem>
</file>

<file path=docProps/app.xml><?xml version="1.0" encoding="utf-8"?>
<Properties xmlns="http://schemas.openxmlformats.org/officeDocument/2006/extended-properties" xmlns:vt="http://schemas.openxmlformats.org/officeDocument/2006/docPropsVTypes">
  <Template>Normal</Template>
  <Company>http://www.deepbbs.org</Company>
  <Pages>16</Pages>
  <Words>9452</Words>
  <Characters>9738</Characters>
  <Lines>96</Lines>
  <Paragraphs>27</Paragraphs>
  <TotalTime>73</TotalTime>
  <ScaleCrop>false</ScaleCrop>
  <LinksUpToDate>false</LinksUpToDate>
  <CharactersWithSpaces>9791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2019-04-24T09:09:00Z</dcterms:created>
  <dc:creator>赖光贤</dc:creator>
  <cp:lastModifiedBy>文质彬彬</cp:lastModifiedBy>
  <cp:lastPrinted>2019-04-03T09:42:00Z</cp:lastPrinted>
  <dcterms:modified xsi:type="dcterms:W3CDTF">2025-04-11T06:06:58Z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8B535A90E7E74CCEBC44A55C455DB99D_13</vt:lpwstr>
  </property>
  <property fmtid="{D5CDD505-2E9C-101B-9397-08002B2CF9AE}" pid="4" name="KSOTemplateDocerSaveRecord">
    <vt:lpwstr>eyJoZGlkIjoiZDA4MGJmNDZjNWY1ODI3MzljN2MzNzU2YmQwMzYwMTUiLCJ1c2VySWQiOiI2MzE5MDQzNzcifQ==</vt:lpwstr>
  </property>
</Properties>
</file>